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4992B" w14:textId="5FFD94EA" w:rsidR="004F3AA2" w:rsidRPr="004D2F23" w:rsidRDefault="002D39C7" w:rsidP="00FB6E29">
      <w:pPr>
        <w:jc w:val="center"/>
        <w:rPr>
          <w:rFonts w:ascii="Times New Roman" w:hAnsi="Times New Roman" w:cs="Times New Roman"/>
          <w:b/>
          <w:sz w:val="28"/>
          <w:szCs w:val="28"/>
        </w:rPr>
      </w:pPr>
      <w:r w:rsidRPr="004D2F23">
        <w:rPr>
          <w:rFonts w:ascii="Times New Roman" w:hAnsi="Times New Roman" w:cs="Times New Roman"/>
          <w:b/>
          <w:sz w:val="28"/>
          <w:szCs w:val="28"/>
        </w:rPr>
        <w:t>BẢN RÀ SOÁT KINH NGHIỆM QUỐC TẾ</w:t>
      </w:r>
    </w:p>
    <w:p w14:paraId="2C98D81A" w14:textId="1D3DDED5" w:rsidR="004F3AA2" w:rsidRPr="004D2F23" w:rsidRDefault="004F3AA2" w:rsidP="00E21B8E">
      <w:pPr>
        <w:ind w:firstLine="709"/>
        <w:rPr>
          <w:rFonts w:ascii="Times New Roman" w:hAnsi="Times New Roman" w:cs="Times New Roman"/>
          <w:b/>
          <w:sz w:val="28"/>
          <w:szCs w:val="28"/>
        </w:rPr>
      </w:pPr>
      <w:r w:rsidRPr="004D2F23">
        <w:rPr>
          <w:rFonts w:ascii="Times New Roman" w:hAnsi="Times New Roman" w:cs="Times New Roman"/>
          <w:b/>
          <w:sz w:val="28"/>
          <w:szCs w:val="28"/>
        </w:rPr>
        <w:t xml:space="preserve">A. </w:t>
      </w:r>
      <w:r w:rsidR="00E21B8E" w:rsidRPr="004D2F23">
        <w:rPr>
          <w:rFonts w:ascii="Times New Roman" w:hAnsi="Times New Roman" w:cs="Times New Roman"/>
          <w:b/>
          <w:sz w:val="28"/>
          <w:szCs w:val="28"/>
        </w:rPr>
        <w:t xml:space="preserve">Chính sách </w:t>
      </w:r>
      <w:r w:rsidRPr="004D2F23">
        <w:rPr>
          <w:rFonts w:ascii="Times New Roman" w:hAnsi="Times New Roman" w:cs="Times New Roman"/>
          <w:b/>
          <w:sz w:val="28"/>
          <w:szCs w:val="28"/>
        </w:rPr>
        <w:t>Phí bảo hiểm tiền gửi:</w:t>
      </w:r>
    </w:p>
    <w:p w14:paraId="18CDB6B9" w14:textId="5762402B" w:rsidR="00D53B72" w:rsidRPr="004D2F23" w:rsidRDefault="002D0BD0" w:rsidP="00D53B72">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Theo khảo sát thường niên năm 2019 của Hiệp hội Bảo hiểm Tiền gửi Quốc tế (IADI), hiện có 52% số tổ chức</w:t>
      </w:r>
      <w:r w:rsidR="00AE1F58" w:rsidRPr="004D2F23">
        <w:rPr>
          <w:rFonts w:ascii="Times New Roman" w:hAnsi="Times New Roman" w:cs="Times New Roman"/>
          <w:sz w:val="28"/>
          <w:szCs w:val="28"/>
        </w:rPr>
        <w:t xml:space="preserve"> Bảo hiểm tiề</w:t>
      </w:r>
      <w:r w:rsidR="004C3BD6" w:rsidRPr="004D2F23">
        <w:rPr>
          <w:rFonts w:ascii="Times New Roman" w:hAnsi="Times New Roman" w:cs="Times New Roman"/>
          <w:sz w:val="28"/>
          <w:szCs w:val="28"/>
        </w:rPr>
        <w:t>n</w:t>
      </w:r>
      <w:r w:rsidR="00AE1F58" w:rsidRPr="004D2F23">
        <w:rPr>
          <w:rFonts w:ascii="Times New Roman" w:hAnsi="Times New Roman" w:cs="Times New Roman"/>
          <w:sz w:val="28"/>
          <w:szCs w:val="28"/>
        </w:rPr>
        <w:t xml:space="preserve"> gửi</w:t>
      </w:r>
      <w:r w:rsidRPr="004D2F23">
        <w:rPr>
          <w:rFonts w:ascii="Times New Roman" w:hAnsi="Times New Roman" w:cs="Times New Roman"/>
          <w:sz w:val="28"/>
          <w:szCs w:val="28"/>
        </w:rPr>
        <w:t xml:space="preserve"> </w:t>
      </w:r>
      <w:r w:rsidR="00AE1F58" w:rsidRPr="004D2F23">
        <w:rPr>
          <w:rFonts w:ascii="Times New Roman" w:hAnsi="Times New Roman" w:cs="Times New Roman"/>
          <w:sz w:val="28"/>
          <w:szCs w:val="28"/>
        </w:rPr>
        <w:t>(</w:t>
      </w:r>
      <w:r w:rsidRPr="004D2F23">
        <w:rPr>
          <w:rFonts w:ascii="Times New Roman" w:hAnsi="Times New Roman" w:cs="Times New Roman"/>
          <w:sz w:val="28"/>
          <w:szCs w:val="28"/>
        </w:rPr>
        <w:t>BHTG</w:t>
      </w:r>
      <w:r w:rsidR="00AE1F58" w:rsidRPr="004D2F23">
        <w:rPr>
          <w:rFonts w:ascii="Times New Roman" w:hAnsi="Times New Roman" w:cs="Times New Roman"/>
          <w:sz w:val="28"/>
          <w:szCs w:val="28"/>
        </w:rPr>
        <w:t>)</w:t>
      </w:r>
      <w:r w:rsidRPr="004D2F23">
        <w:rPr>
          <w:rFonts w:ascii="Times New Roman" w:hAnsi="Times New Roman" w:cs="Times New Roman"/>
          <w:sz w:val="28"/>
          <w:szCs w:val="28"/>
        </w:rPr>
        <w:t xml:space="preserve"> áp dụng hình thức phí đồng hạng, 36% sử dụng phương pháp tính phí phân biệt và 12% kết hợp cả hai cách tính phí này. </w:t>
      </w:r>
    </w:p>
    <w:p w14:paraId="498B54D7" w14:textId="057027FC" w:rsidR="004F3AA2" w:rsidRPr="004D2F23" w:rsidRDefault="004F3AA2" w:rsidP="004F3AA2">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Tại Hàn Quốc,</w:t>
      </w:r>
      <w:r w:rsidRPr="004D2F23">
        <w:rPr>
          <w:rFonts w:ascii="Times New Roman" w:hAnsi="Times New Roman" w:cs="Times New Roman"/>
          <w:b/>
          <w:sz w:val="28"/>
          <w:szCs w:val="28"/>
        </w:rPr>
        <w:t xml:space="preserve"> </w:t>
      </w:r>
      <w:r w:rsidR="00AE1F58" w:rsidRPr="004D2F23">
        <w:rPr>
          <w:rFonts w:ascii="Times New Roman" w:hAnsi="Times New Roman" w:cs="Times New Roman"/>
          <w:sz w:val="28"/>
          <w:szCs w:val="28"/>
        </w:rPr>
        <w:t xml:space="preserve">phương pháp phí phân biệt áp dụng cho từng đối tượng tham gia BHTG. </w:t>
      </w:r>
      <w:r w:rsidRPr="004D2F23">
        <w:rPr>
          <w:rFonts w:ascii="Times New Roman" w:hAnsi="Times New Roman" w:cs="Times New Roman"/>
          <w:sz w:val="28"/>
          <w:szCs w:val="28"/>
        </w:rPr>
        <w:t xml:space="preserve">Mỗi tổ chức tài chính được bảo hiểm phải nộp phí BHTG hàng năm cho KDIC bằng cách nhân số dư tiền gửi được bảo hiểm với tỷ lệ được quy định cho từng tổ chức. </w:t>
      </w:r>
      <w:r w:rsidR="00AE1F58" w:rsidRPr="004D2F23">
        <w:rPr>
          <w:rFonts w:ascii="Times New Roman" w:hAnsi="Times New Roman" w:cs="Times New Roman"/>
          <w:sz w:val="28"/>
          <w:szCs w:val="28"/>
        </w:rPr>
        <w:t>T</w:t>
      </w:r>
      <w:r w:rsidRPr="004D2F23">
        <w:rPr>
          <w:rFonts w:ascii="Times New Roman" w:hAnsi="Times New Roman" w:cs="Times New Roman"/>
          <w:sz w:val="28"/>
          <w:szCs w:val="28"/>
        </w:rPr>
        <w:t>ỷ lệ phí BHTG hàng năm đối vớ</w:t>
      </w:r>
      <w:r w:rsidR="00AE1F58" w:rsidRPr="004D2F23">
        <w:rPr>
          <w:rFonts w:ascii="Times New Roman" w:hAnsi="Times New Roman" w:cs="Times New Roman"/>
          <w:sz w:val="28"/>
          <w:szCs w:val="28"/>
        </w:rPr>
        <w:t>i: ngân hàng: 0</w:t>
      </w:r>
      <w:proofErr w:type="gramStart"/>
      <w:r w:rsidR="00AE1F58" w:rsidRPr="004D2F23">
        <w:rPr>
          <w:rFonts w:ascii="Times New Roman" w:hAnsi="Times New Roman" w:cs="Times New Roman"/>
          <w:sz w:val="28"/>
          <w:szCs w:val="28"/>
        </w:rPr>
        <w:t>,08</w:t>
      </w:r>
      <w:proofErr w:type="gramEnd"/>
      <w:r w:rsidR="00AE1F58" w:rsidRPr="004D2F23">
        <w:rPr>
          <w:rFonts w:ascii="Times New Roman" w:hAnsi="Times New Roman" w:cs="Times New Roman"/>
          <w:sz w:val="28"/>
          <w:szCs w:val="28"/>
        </w:rPr>
        <w:t>%; c</w:t>
      </w:r>
      <w:r w:rsidRPr="004D2F23">
        <w:rPr>
          <w:rFonts w:ascii="Times New Roman" w:hAnsi="Times New Roman" w:cs="Times New Roman"/>
          <w:sz w:val="28"/>
          <w:szCs w:val="28"/>
        </w:rPr>
        <w:t>ông ty đầ</w:t>
      </w:r>
      <w:r w:rsidR="00AE1F58" w:rsidRPr="004D2F23">
        <w:rPr>
          <w:rFonts w:ascii="Times New Roman" w:hAnsi="Times New Roman" w:cs="Times New Roman"/>
          <w:sz w:val="28"/>
          <w:szCs w:val="28"/>
        </w:rPr>
        <w:t>u tư tài chính (0,15%); c</w:t>
      </w:r>
      <w:r w:rsidRPr="004D2F23">
        <w:rPr>
          <w:rFonts w:ascii="Times New Roman" w:hAnsi="Times New Roman" w:cs="Times New Roman"/>
          <w:sz w:val="28"/>
          <w:szCs w:val="28"/>
        </w:rPr>
        <w:t xml:space="preserve">ông ty bảo hiểm (0,15%); </w:t>
      </w:r>
      <w:r w:rsidR="00AE1F58" w:rsidRPr="004D2F23">
        <w:rPr>
          <w:rFonts w:ascii="Times New Roman" w:hAnsi="Times New Roman" w:cs="Times New Roman"/>
          <w:sz w:val="28"/>
          <w:szCs w:val="28"/>
        </w:rPr>
        <w:t>ngân hàng chuyên doanh (0,15%); n</w:t>
      </w:r>
      <w:r w:rsidRPr="004D2F23">
        <w:rPr>
          <w:rFonts w:ascii="Times New Roman" w:hAnsi="Times New Roman" w:cs="Times New Roman"/>
          <w:sz w:val="28"/>
          <w:szCs w:val="28"/>
        </w:rPr>
        <w:t xml:space="preserve">gân hàng tiết kiệm tương hỗ (0,4%). Đây là các mức phí bảo hiểm tiêu chuẩn, tùy </w:t>
      </w:r>
      <w:proofErr w:type="gramStart"/>
      <w:r w:rsidRPr="004D2F23">
        <w:rPr>
          <w:rFonts w:ascii="Times New Roman" w:hAnsi="Times New Roman" w:cs="Times New Roman"/>
          <w:sz w:val="28"/>
          <w:szCs w:val="28"/>
        </w:rPr>
        <w:t>theo</w:t>
      </w:r>
      <w:proofErr w:type="gramEnd"/>
      <w:r w:rsidRPr="004D2F23">
        <w:rPr>
          <w:rFonts w:ascii="Times New Roman" w:hAnsi="Times New Roman" w:cs="Times New Roman"/>
          <w:sz w:val="28"/>
          <w:szCs w:val="28"/>
        </w:rPr>
        <w:t xml:space="preserve"> xếp hạng rủi ro của từng tổ chức có thể áp dụng mức chiết khấu (tối đa - 10%) hoặc mức bổ sung (tối đa 10%). </w:t>
      </w:r>
    </w:p>
    <w:p w14:paraId="02BACD1C" w14:textId="77777777" w:rsidR="002D0BD0" w:rsidRPr="004D2F23" w:rsidRDefault="002D0BD0" w:rsidP="002D0BD0">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Kể từ khi thành lập vào tháng 9/2005, Tổng công ty Bảo hiểm Tiền gửi Malaysia (PIDM) đã áp dụng cơ chế cấp vốn trước và phí bảo hiểm tiền gửi (BHTG) đồng hạng ở mức 0,06% trên tổng số dư tiền gửi được bảo hiểm. Luật BHTG Malaysia cho phép xây dựng hệ thống phí phân biệt nhằm mục đích tạo ra động lực cho các tổ chức thành viên, hạn chế các hoạt động gây rủi ro quá mức và đảm bảo sự công bằng trong quá trình tính phí BHTG.</w:t>
      </w:r>
    </w:p>
    <w:p w14:paraId="535B6372" w14:textId="33A6FF8A" w:rsidR="002D0BD0" w:rsidRPr="004D2F23" w:rsidRDefault="002D0BD0" w:rsidP="002D0BD0">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xml:space="preserve">Từ năm 2008, PIDM bắt đầu triển khai hệ thống phí phân biệt thay thế cho </w:t>
      </w:r>
      <w:r w:rsidR="004C3BD6" w:rsidRPr="004D2F23">
        <w:rPr>
          <w:rFonts w:ascii="Times New Roman" w:hAnsi="Times New Roman" w:cs="Times New Roman"/>
          <w:sz w:val="28"/>
          <w:szCs w:val="28"/>
        </w:rPr>
        <w:t>hệ thống</w:t>
      </w:r>
      <w:r w:rsidRPr="004D2F23">
        <w:rPr>
          <w:rFonts w:ascii="Times New Roman" w:hAnsi="Times New Roman" w:cs="Times New Roman"/>
          <w:sz w:val="28"/>
          <w:szCs w:val="28"/>
        </w:rPr>
        <w:t xml:space="preserve"> phí đồng hạng, áp dụng cho cả hệ thống tiền gửi thông thường và tiền gửi Hồi giáo, phù hợp với nhiệm vụ của PIDM là thúc đẩy quản lý rủi ro an toàn và góp phần ổn định hệ thống tài chính ngân hàng. Đến nay, PIDM đã phát triển hệ thống phí phân biệt qua các giai đoạn: giai đoạn nền tảng (2009 – 2011), giai đoạn phát triển và củng cố (2012 – 2020), và giai đoạn mở rộng (từ 2021 trở đi).</w:t>
      </w:r>
    </w:p>
    <w:p w14:paraId="24527B6B" w14:textId="77777777" w:rsidR="002D0BD0" w:rsidRPr="004D2F23" w:rsidRDefault="004F3AA2" w:rsidP="002D0BD0">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xml:space="preserve">Tại Nhật Bản, phí BHTG áp dụng đồng hạng, áp dụng đối với tất cả các tổ chức tham gia bảo hiểm tiền gửi (ở mức 9,015% tổng số dư tiền gửi thuộc phạm </w:t>
      </w:r>
      <w:proofErr w:type="gramStart"/>
      <w:r w:rsidRPr="004D2F23">
        <w:rPr>
          <w:rFonts w:ascii="Times New Roman" w:hAnsi="Times New Roman" w:cs="Times New Roman"/>
          <w:sz w:val="28"/>
          <w:szCs w:val="28"/>
        </w:rPr>
        <w:t>vi</w:t>
      </w:r>
      <w:proofErr w:type="gramEnd"/>
      <w:r w:rsidRPr="004D2F23">
        <w:rPr>
          <w:rFonts w:ascii="Times New Roman" w:hAnsi="Times New Roman" w:cs="Times New Roman"/>
          <w:sz w:val="28"/>
          <w:szCs w:val="28"/>
        </w:rPr>
        <w:t xml:space="preserve"> bảo hiể</w:t>
      </w:r>
      <w:r w:rsidR="002D0BD0" w:rsidRPr="004D2F23">
        <w:rPr>
          <w:rFonts w:ascii="Times New Roman" w:hAnsi="Times New Roman" w:cs="Times New Roman"/>
          <w:sz w:val="28"/>
          <w:szCs w:val="28"/>
        </w:rPr>
        <w:t xml:space="preserve">m trong năm 2024). </w:t>
      </w:r>
    </w:p>
    <w:p w14:paraId="7B146BD2" w14:textId="0B558AF8" w:rsidR="004F3AA2" w:rsidRPr="004D2F23" w:rsidRDefault="004F3AA2" w:rsidP="002D0BD0">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b/>
          <w:sz w:val="28"/>
          <w:szCs w:val="28"/>
        </w:rPr>
        <w:t>B. Về cơ cấu đầu tư của Bảo hiểm tiền gửi</w:t>
      </w:r>
    </w:p>
    <w:p w14:paraId="5979498E" w14:textId="77777777" w:rsidR="004F3AA2" w:rsidRPr="004D2F23" w:rsidRDefault="004F3AA2" w:rsidP="004F3AA2">
      <w:pPr>
        <w:ind w:firstLine="720"/>
        <w:jc w:val="both"/>
        <w:rPr>
          <w:rFonts w:ascii="Times New Roman" w:hAnsi="Times New Roman" w:cs="Times New Roman"/>
          <w:sz w:val="28"/>
          <w:szCs w:val="28"/>
        </w:rPr>
      </w:pPr>
      <w:r w:rsidRPr="004D2F23">
        <w:rPr>
          <w:rFonts w:ascii="Times New Roman" w:hAnsi="Times New Roman" w:cs="Times New Roman"/>
          <w:sz w:val="28"/>
          <w:szCs w:val="28"/>
        </w:rPr>
        <w:t>Theo một khảo sát 16 khu vực pháp lý của Tiểu ban nghiên cứu của Ủy ban khu vực Châu Á- Thái Bình Dương - Hiệp hội Bảo hiểm tiền gửi Quốc tế vào năm 2011,</w:t>
      </w:r>
      <w:r w:rsidRPr="004D2F23">
        <w:rPr>
          <w:rStyle w:val="FootnoteReference"/>
          <w:rFonts w:ascii="Times New Roman" w:hAnsi="Times New Roman" w:cs="Times New Roman"/>
          <w:sz w:val="28"/>
          <w:szCs w:val="28"/>
        </w:rPr>
        <w:footnoteReference w:id="1"/>
      </w:r>
      <w:r w:rsidRPr="004D2F23">
        <w:rPr>
          <w:rFonts w:ascii="Times New Roman" w:hAnsi="Times New Roman" w:cs="Times New Roman"/>
          <w:sz w:val="28"/>
          <w:szCs w:val="28"/>
        </w:rPr>
        <w:t xml:space="preserve"> thặng dư quỹ BHTG, theo quy định của pháp luật các nước, có thể được đầu tư và lợi </w:t>
      </w:r>
      <w:r w:rsidRPr="004D2F23">
        <w:rPr>
          <w:rFonts w:ascii="Times New Roman" w:hAnsi="Times New Roman" w:cs="Times New Roman"/>
          <w:sz w:val="28"/>
          <w:szCs w:val="28"/>
        </w:rPr>
        <w:lastRenderedPageBreak/>
        <w:t xml:space="preserve">tức từ đầu tư được bổ sung vào quỹ BHTG. Chính sách đầu tư của công ty bảo hiểm tiền gửi phải xem xét, cân bằng giữa tỷ lệ lợi nhuận cao hơn với sự chắc chắn về nguồn tiền có sẵn khi cần. Để đảm bảo tính an toàn và thanh khoản của các khoản đầu tư, hầu hết các khu vực pháp lý được khảo sát đều yêu cầu công ty bảo hiểm tiền gửi của mình đầu tư vào các công cụ có bảo đảm bằng vốn gốc và có tính thanh khoản cao, chẳng hạn như trái phiếu chính phủ, trái phiếu ngân hàng, kỳ phiếu ngắn hạn hoặc tiền gửi tại ngân hàng trung ương hoặc các tổ chức tài chính lành mạnh khác. Rất ít công ty bảo hiểm tiền gửi được phép đầu tư vào các công cụ khác. </w:t>
      </w:r>
    </w:p>
    <w:p w14:paraId="1184FA73" w14:textId="77777777" w:rsidR="00913AC7" w:rsidRPr="004D2F23" w:rsidRDefault="004F3AA2" w:rsidP="00913AC7">
      <w:pPr>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Tại Azerbaijan, Quỹ bảo hiểm tiền gửi Azerbaijan có thể đầu tư vào trái phiếu tài chính nước ngoài và trái phiếu của các quỹ thế chấp (bonds of mortgage funds). Tại Hồng Kông, BHTG Hồng Kông (HKDPB) có thể đầu tư vào các sản phẩm tài chính phái sinh phòng ngừa rủi ro để phòng ngừa rủi ro ngoại tệ; tại Kazakhstan, Ngân hàng Trung ương Kazakhstan lập danh sách các công cụ tài chính mà Quỹ bảo hiểm tiền gửi Kazakhstan (KDIF) thực hiện chính sách đầu tư của mình. Các công cụ bao gồm chứng khoán nợ của đại lý (agent debt securities), chứng khoán chính phủ, chứng khoán chính phủ nước ngoài, tiền gửi tại Ngân hàng Trung ương, chứng khoán phái sinh, repos and reverse repos. Tại Nga, Cơ quan Bảo hiểm Tiền gửi (DIA) có thể đầu tư vào trái phiếu doanh nghiệp, cổ phiếu doanh nghiệp và chứng khoán tài chính nước ngoài. Kết quả khảo sát cho thấy là không có sự tương quan giữa các phương thức đầu tư được phép với mô hình triển khai BHTG (BHTG chỉ thực hiện chức năng chi trả và BHTG có chức năng giảm thiểu rủi ro hệ thống hoặc cả hai).  </w:t>
      </w:r>
    </w:p>
    <w:p w14:paraId="127DEBFA" w14:textId="3E2CCEBB" w:rsidR="000B70C3" w:rsidRPr="004D2F23" w:rsidRDefault="00913AC7" w:rsidP="00DF63DC">
      <w:pPr>
        <w:ind w:firstLine="720"/>
        <w:jc w:val="both"/>
        <w:rPr>
          <w:rFonts w:ascii="Times New Roman" w:hAnsi="Times New Roman" w:cs="Times New Roman"/>
          <w:sz w:val="28"/>
          <w:szCs w:val="28"/>
          <w:shd w:val="clear" w:color="auto" w:fill="FFFFFF"/>
        </w:rPr>
      </w:pPr>
      <w:r w:rsidRPr="004D2F23">
        <w:rPr>
          <w:rFonts w:ascii="Times New Roman" w:hAnsi="Times New Roman" w:cs="Times New Roman"/>
          <w:sz w:val="28"/>
          <w:szCs w:val="28"/>
        </w:rPr>
        <w:t xml:space="preserve">Tại Nhật Bản, </w:t>
      </w:r>
      <w:r w:rsidRPr="004D2F23">
        <w:rPr>
          <w:rFonts w:ascii="Times New Roman" w:hAnsi="Times New Roman" w:cs="Times New Roman"/>
          <w:sz w:val="28"/>
          <w:szCs w:val="28"/>
          <w:shd w:val="clear" w:color="auto" w:fill="FFFFFF"/>
        </w:rPr>
        <w:t>theo quy định tại Luật bảo hiểm tiền gửi Nhật Bản, DICJ thực hiện đầu tư nguồn vốn tạm thời nhàn r</w:t>
      </w:r>
      <w:r w:rsidR="003C1DF2" w:rsidRPr="004D2F23">
        <w:rPr>
          <w:rFonts w:ascii="Times New Roman" w:hAnsi="Times New Roman" w:cs="Times New Roman"/>
          <w:sz w:val="28"/>
          <w:szCs w:val="28"/>
          <w:shd w:val="clear" w:color="auto" w:fill="FFFFFF"/>
        </w:rPr>
        <w:t>ỗ</w:t>
      </w:r>
      <w:r w:rsidRPr="004D2F23">
        <w:rPr>
          <w:rFonts w:ascii="Times New Roman" w:hAnsi="Times New Roman" w:cs="Times New Roman"/>
          <w:sz w:val="28"/>
          <w:szCs w:val="28"/>
          <w:shd w:val="clear" w:color="auto" w:fill="FFFFFF"/>
        </w:rPr>
        <w:t xml:space="preserve">i, cụ thế: (i) Mua trái phiếu chính phủ hay các loại chứng khoán khác do Thủ tướng và Bộ trưởng tài chính chỉ định; (ii) Gửi tiền tại các tổ chức tài chính do Thủ tướng và Bộ trưởng tài chính chỉ định; hoặc (ii) Các tài sản khác được quy định chi tiết trong Pháp lệnh Văn phòng Chính phủ và Pháp lệnh của Bộ tài chính. DICJ phân bổ quỹ vào 10 tài khoản, trong đó tài khoản chính là Tài khoản Chung với các đặc điểm: Doanh </w:t>
      </w:r>
      <w:proofErr w:type="gramStart"/>
      <w:r w:rsidRPr="004D2F23">
        <w:rPr>
          <w:rFonts w:ascii="Times New Roman" w:hAnsi="Times New Roman" w:cs="Times New Roman"/>
          <w:sz w:val="28"/>
          <w:szCs w:val="28"/>
          <w:shd w:val="clear" w:color="auto" w:fill="FFFFFF"/>
        </w:rPr>
        <w:t>thu</w:t>
      </w:r>
      <w:proofErr w:type="gramEnd"/>
      <w:r w:rsidRPr="004D2F23">
        <w:rPr>
          <w:rFonts w:ascii="Times New Roman" w:hAnsi="Times New Roman" w:cs="Times New Roman"/>
          <w:sz w:val="28"/>
          <w:szCs w:val="28"/>
          <w:shd w:val="clear" w:color="auto" w:fill="FFFFFF"/>
        </w:rPr>
        <w:t xml:space="preserve"> chủ yếu đến từ phí bảo hiểm: 198 tỷ Yên trong năm tài chính 2023. Dư nợ quỹ dự phòng đạt 5</w:t>
      </w:r>
      <w:proofErr w:type="gramStart"/>
      <w:r w:rsidRPr="004D2F23">
        <w:rPr>
          <w:rFonts w:ascii="Times New Roman" w:hAnsi="Times New Roman" w:cs="Times New Roman"/>
          <w:sz w:val="28"/>
          <w:szCs w:val="28"/>
          <w:shd w:val="clear" w:color="auto" w:fill="FFFFFF"/>
        </w:rPr>
        <w:t>,4</w:t>
      </w:r>
      <w:proofErr w:type="gramEnd"/>
      <w:r w:rsidRPr="004D2F23">
        <w:rPr>
          <w:rFonts w:ascii="Times New Roman" w:hAnsi="Times New Roman" w:cs="Times New Roman"/>
          <w:sz w:val="28"/>
          <w:szCs w:val="28"/>
          <w:shd w:val="clear" w:color="auto" w:fill="FFFFFF"/>
        </w:rPr>
        <w:t xml:space="preserve"> nghìn tỷ yên - tính đến cuối tháng 3 năm 2024. Tỷ lệ Quỹ mục tiêu là 0</w:t>
      </w:r>
      <w:proofErr w:type="gramStart"/>
      <w:r w:rsidRPr="004D2F23">
        <w:rPr>
          <w:rFonts w:ascii="Times New Roman" w:hAnsi="Times New Roman" w:cs="Times New Roman"/>
          <w:sz w:val="28"/>
          <w:szCs w:val="28"/>
          <w:shd w:val="clear" w:color="auto" w:fill="FFFFFF"/>
        </w:rPr>
        <w:t>,7</w:t>
      </w:r>
      <w:proofErr w:type="gramEnd"/>
      <w:r w:rsidRPr="004D2F23">
        <w:rPr>
          <w:rFonts w:ascii="Times New Roman" w:hAnsi="Times New Roman" w:cs="Times New Roman"/>
          <w:sz w:val="28"/>
          <w:szCs w:val="28"/>
          <w:shd w:val="clear" w:color="auto" w:fill="FFFFFF"/>
        </w:rPr>
        <w:t xml:space="preserve">% tổng số dư tiền gửi được bảo hiểm (ước tính khoảng 7 nghìn tỷ Yên).  DICJ chưa phát hành trái phiếu hoặc vay nợ tính đến thời điểm này. Chính phủ bảo lãnh lên tới 19 nghìn tỷ Yên cho việc phát hành trái phiếu và vay nợ trong năm tài chính 2024. Quỹ dự phòng được gửi tại tài khoản vãng lại tại Ngân hàng Trung Ương Nhật Bản trong năm tài chính 2023 và được đầu tư chủ </w:t>
      </w:r>
      <w:proofErr w:type="gramStart"/>
      <w:r w:rsidRPr="004D2F23">
        <w:rPr>
          <w:rFonts w:ascii="Times New Roman" w:hAnsi="Times New Roman" w:cs="Times New Roman"/>
          <w:sz w:val="28"/>
          <w:szCs w:val="28"/>
          <w:shd w:val="clear" w:color="auto" w:fill="FFFFFF"/>
        </w:rPr>
        <w:t>yếu</w:t>
      </w:r>
      <w:proofErr w:type="gramEnd"/>
      <w:r w:rsidRPr="004D2F23">
        <w:rPr>
          <w:rFonts w:ascii="Times New Roman" w:hAnsi="Times New Roman" w:cs="Times New Roman"/>
          <w:sz w:val="28"/>
          <w:szCs w:val="28"/>
          <w:shd w:val="clear" w:color="auto" w:fill="FFFFFF"/>
        </w:rPr>
        <w:t xml:space="preserve"> vào Trái phiếu Chính phủ Nhật Bản trong năm tài chính 2024. Tại một số tài khoản khác, DICJ đang phát hành trái phiếu trên thị trường và/hoặc vay từ các tố chức tài chính tư nhân.</w:t>
      </w:r>
    </w:p>
    <w:p w14:paraId="76B6AA19" w14:textId="060A752E" w:rsidR="00EC0D82" w:rsidRPr="004D2F23" w:rsidRDefault="00EC0D82" w:rsidP="00DF63DC">
      <w:pPr>
        <w:ind w:firstLine="720"/>
        <w:jc w:val="both"/>
        <w:rPr>
          <w:rFonts w:ascii="Times New Roman" w:hAnsi="Times New Roman" w:cs="Times New Roman"/>
          <w:sz w:val="28"/>
          <w:szCs w:val="28"/>
          <w:shd w:val="clear" w:color="auto" w:fill="FFFFFF"/>
        </w:rPr>
      </w:pPr>
      <w:r w:rsidRPr="004D2F23">
        <w:rPr>
          <w:rFonts w:ascii="Times New Roman" w:hAnsi="Times New Roman" w:cs="Times New Roman"/>
          <w:sz w:val="28"/>
          <w:szCs w:val="28"/>
          <w:shd w:val="clear" w:color="auto" w:fill="FFFFFF"/>
        </w:rPr>
        <w:lastRenderedPageBreak/>
        <w:t>Tại Singapore, cơ quan BHTG có thể đầu tư vào trái phiếu chính phủ, gửi tiền tại ngân hàng trung ương và Trái phiếu hoặc chứng khoán nợ nào do Singapore Sukuk Pte. Ltd. phát hành và các tài sản khác được Bộ trưởng chấp thuận. Singapore Sukuk Pte. Ltd là một công ty được sở hữu 100% bởi MAS, được đối xử tương tự. Chứng khoán của công ty này phát hành được đối xử tương tự như trái phiếu Chính phủ của Singapore về quy định thanh khoản.  </w:t>
      </w:r>
    </w:p>
    <w:p w14:paraId="4859D7C9" w14:textId="5600C0D9" w:rsidR="00EC0D82" w:rsidRPr="004D2F23" w:rsidRDefault="00EC0D82" w:rsidP="008B3399">
      <w:pPr>
        <w:ind w:firstLine="720"/>
        <w:jc w:val="both"/>
        <w:rPr>
          <w:rFonts w:ascii="Times New Roman" w:hAnsi="Times New Roman" w:cs="Times New Roman"/>
          <w:sz w:val="28"/>
          <w:szCs w:val="28"/>
        </w:rPr>
      </w:pPr>
      <w:r w:rsidRPr="004D2F23">
        <w:rPr>
          <w:rFonts w:ascii="Times New Roman" w:hAnsi="Times New Roman" w:cs="Times New Roman"/>
          <w:sz w:val="28"/>
          <w:szCs w:val="28"/>
          <w:shd w:val="clear" w:color="auto" w:fill="FFFFFF"/>
        </w:rPr>
        <w:t>Tại Philippines, cơ quan BHTG có thể đầu tư vào trái phiếu chính phủ, gửi tiền tại ngân hàng trung ương và</w:t>
      </w:r>
      <w:r w:rsidRPr="004D2F23">
        <w:rPr>
          <w:rFonts w:ascii="Times New Roman" w:hAnsi="Times New Roman" w:cs="Times New Roman"/>
          <w:sz w:val="28"/>
          <w:szCs w:val="28"/>
        </w:rPr>
        <w:t xml:space="preserve"> gửi tiền tại bất kỳ ngân hàng nào được chỉ định là đơn vị lưu ký hoặc đại lý tài chính của Chính phủ Philippines.</w:t>
      </w:r>
    </w:p>
    <w:p w14:paraId="0FBEDD9C" w14:textId="1ACEB455" w:rsidR="00726F53" w:rsidRPr="004D2F23" w:rsidRDefault="00913AC7" w:rsidP="008B3399">
      <w:pPr>
        <w:ind w:firstLine="720"/>
        <w:jc w:val="both"/>
        <w:rPr>
          <w:rFonts w:ascii="Times New Roman" w:hAnsi="Times New Roman" w:cs="Times New Roman"/>
          <w:b/>
          <w:sz w:val="28"/>
          <w:szCs w:val="28"/>
        </w:rPr>
      </w:pPr>
      <w:r w:rsidRPr="004D2F23">
        <w:rPr>
          <w:rFonts w:ascii="Times New Roman" w:hAnsi="Times New Roman" w:cs="Times New Roman"/>
          <w:b/>
          <w:sz w:val="28"/>
          <w:szCs w:val="28"/>
        </w:rPr>
        <w:t>C.</w:t>
      </w:r>
      <w:r w:rsidR="00F545BC" w:rsidRPr="004D2F23">
        <w:rPr>
          <w:rFonts w:ascii="Times New Roman" w:hAnsi="Times New Roman" w:cs="Times New Roman"/>
          <w:b/>
          <w:sz w:val="28"/>
          <w:szCs w:val="28"/>
        </w:rPr>
        <w:t xml:space="preserve"> </w:t>
      </w:r>
      <w:r w:rsidRPr="004D2F23">
        <w:rPr>
          <w:rFonts w:ascii="Times New Roman" w:hAnsi="Times New Roman" w:cs="Times New Roman"/>
          <w:b/>
          <w:sz w:val="28"/>
          <w:szCs w:val="28"/>
        </w:rPr>
        <w:t>BHTG</w:t>
      </w:r>
      <w:r w:rsidR="00F545BC" w:rsidRPr="004D2F23">
        <w:rPr>
          <w:rFonts w:ascii="Times New Roman" w:hAnsi="Times New Roman" w:cs="Times New Roman"/>
          <w:b/>
          <w:sz w:val="28"/>
          <w:szCs w:val="28"/>
        </w:rPr>
        <w:t xml:space="preserve"> tham gia</w:t>
      </w:r>
      <w:r w:rsidR="00FB6E29" w:rsidRPr="004D2F23">
        <w:rPr>
          <w:rFonts w:ascii="Times New Roman" w:hAnsi="Times New Roman" w:cs="Times New Roman"/>
          <w:b/>
          <w:sz w:val="28"/>
          <w:szCs w:val="28"/>
        </w:rPr>
        <w:t xml:space="preserve"> quá trình xử lý TCTD </w:t>
      </w:r>
      <w:r w:rsidR="001943B5" w:rsidRPr="004D2F23">
        <w:rPr>
          <w:rFonts w:ascii="Times New Roman" w:hAnsi="Times New Roman" w:cs="Times New Roman"/>
          <w:b/>
          <w:sz w:val="28"/>
          <w:szCs w:val="28"/>
        </w:rPr>
        <w:t xml:space="preserve">có nguy cơ </w:t>
      </w:r>
      <w:r w:rsidR="00FB6E29" w:rsidRPr="004D2F23">
        <w:rPr>
          <w:rFonts w:ascii="Times New Roman" w:hAnsi="Times New Roman" w:cs="Times New Roman"/>
          <w:b/>
          <w:sz w:val="28"/>
          <w:szCs w:val="28"/>
        </w:rPr>
        <w:t>mất khả năng chi trả và tái cơ cấu TCTD</w:t>
      </w:r>
    </w:p>
    <w:p w14:paraId="42016B8A" w14:textId="57A538AA" w:rsidR="00191A4F" w:rsidRPr="004D2F23" w:rsidRDefault="003D6725" w:rsidP="00DC0073">
      <w:pPr>
        <w:ind w:firstLine="720"/>
        <w:jc w:val="both"/>
        <w:rPr>
          <w:rFonts w:ascii="Times New Roman" w:hAnsi="Times New Roman" w:cs="Times New Roman"/>
          <w:b/>
          <w:sz w:val="28"/>
          <w:szCs w:val="28"/>
        </w:rPr>
      </w:pPr>
      <w:r w:rsidRPr="004D2F23">
        <w:rPr>
          <w:rFonts w:ascii="Times New Roman" w:hAnsi="Times New Roman" w:cs="Times New Roman"/>
          <w:b/>
          <w:sz w:val="28"/>
          <w:szCs w:val="28"/>
        </w:rPr>
        <w:t>I.</w:t>
      </w:r>
      <w:r w:rsidRPr="004D2F23">
        <w:rPr>
          <w:rFonts w:ascii="Times New Roman" w:hAnsi="Times New Roman" w:cs="Times New Roman"/>
          <w:sz w:val="28"/>
          <w:szCs w:val="28"/>
        </w:rPr>
        <w:t xml:space="preserve"> </w:t>
      </w:r>
      <w:r w:rsidR="00762C0D" w:rsidRPr="004D2F23">
        <w:rPr>
          <w:rFonts w:ascii="Times New Roman" w:hAnsi="Times New Roman" w:cs="Times New Roman"/>
          <w:b/>
          <w:sz w:val="28"/>
          <w:szCs w:val="28"/>
        </w:rPr>
        <w:t>Tổng quan</w:t>
      </w:r>
      <w:r w:rsidR="00191A4F" w:rsidRPr="004D2F23">
        <w:rPr>
          <w:rFonts w:ascii="Times New Roman" w:hAnsi="Times New Roman" w:cs="Times New Roman"/>
          <w:b/>
          <w:sz w:val="28"/>
          <w:szCs w:val="28"/>
        </w:rPr>
        <w:t>:</w:t>
      </w:r>
    </w:p>
    <w:p w14:paraId="65C43215" w14:textId="0D5D9AE4" w:rsidR="00DC0073" w:rsidRPr="004D2F23" w:rsidRDefault="00382F31" w:rsidP="00191A4F">
      <w:pPr>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Theo nghiên cứu của </w:t>
      </w:r>
      <w:r w:rsidR="00806A67" w:rsidRPr="004D2F23">
        <w:rPr>
          <w:rFonts w:ascii="Times New Roman" w:hAnsi="Times New Roman" w:cs="Times New Roman"/>
          <w:sz w:val="28"/>
          <w:szCs w:val="28"/>
        </w:rPr>
        <w:t xml:space="preserve">Ngân hàng thanh toán quốc tế - </w:t>
      </w:r>
      <w:r w:rsidRPr="004D2F23">
        <w:rPr>
          <w:rFonts w:ascii="Times New Roman" w:hAnsi="Times New Roman" w:cs="Times New Roman"/>
          <w:sz w:val="28"/>
          <w:szCs w:val="28"/>
        </w:rPr>
        <w:t>BIS,</w:t>
      </w:r>
      <w:r w:rsidR="00C8680F" w:rsidRPr="004D2F23">
        <w:rPr>
          <w:rStyle w:val="FootnoteReference"/>
          <w:rFonts w:ascii="Times New Roman" w:hAnsi="Times New Roman" w:cs="Times New Roman"/>
          <w:sz w:val="28"/>
          <w:szCs w:val="28"/>
        </w:rPr>
        <w:footnoteReference w:id="2"/>
      </w:r>
      <w:r w:rsidRPr="004D2F23">
        <w:rPr>
          <w:rFonts w:ascii="Times New Roman" w:hAnsi="Times New Roman" w:cs="Times New Roman"/>
          <w:sz w:val="28"/>
          <w:szCs w:val="28"/>
        </w:rPr>
        <w:t xml:space="preserve"> </w:t>
      </w:r>
      <w:r w:rsidR="003E6E95" w:rsidRPr="004D2F23">
        <w:rPr>
          <w:rFonts w:ascii="Times New Roman" w:hAnsi="Times New Roman" w:cs="Times New Roman"/>
          <w:sz w:val="28"/>
          <w:szCs w:val="28"/>
        </w:rPr>
        <w:t xml:space="preserve">trong bối cảnh xử lý TCTD mất khả năng chi trả và tái cơ cấu TCTD, </w:t>
      </w:r>
      <w:r w:rsidRPr="004D2F23">
        <w:rPr>
          <w:rFonts w:ascii="Times New Roman" w:hAnsi="Times New Roman" w:cs="Times New Roman"/>
          <w:sz w:val="28"/>
          <w:szCs w:val="28"/>
        </w:rPr>
        <w:t>Quỹ Bảo hiểm tiền gửi có thể được sử dụng để thực hiện các biện pháp thay thế</w:t>
      </w:r>
      <w:r w:rsidR="00E877F5" w:rsidRPr="004D2F23">
        <w:rPr>
          <w:rFonts w:ascii="Times New Roman" w:hAnsi="Times New Roman" w:cs="Times New Roman"/>
          <w:sz w:val="28"/>
          <w:szCs w:val="28"/>
        </w:rPr>
        <w:t xml:space="preserve"> </w:t>
      </w:r>
      <w:r w:rsidR="003E6E95" w:rsidRPr="004D2F23">
        <w:rPr>
          <w:rFonts w:ascii="Times New Roman" w:hAnsi="Times New Roman" w:cs="Times New Roman"/>
          <w:sz w:val="28"/>
          <w:szCs w:val="28"/>
        </w:rPr>
        <w:t xml:space="preserve">(ngoài việc thực hiện chi trả bảo hiểm tiền gửi cho người gửi tiền) </w:t>
      </w:r>
      <w:r w:rsidRPr="004D2F23">
        <w:rPr>
          <w:rFonts w:ascii="Times New Roman" w:hAnsi="Times New Roman" w:cs="Times New Roman"/>
          <w:sz w:val="28"/>
          <w:szCs w:val="28"/>
        </w:rPr>
        <w:t xml:space="preserve">gồm: </w:t>
      </w:r>
      <w:r w:rsidR="00D24FD7" w:rsidRPr="004D2F23">
        <w:rPr>
          <w:rFonts w:ascii="Times New Roman" w:hAnsi="Times New Roman" w:cs="Times New Roman"/>
          <w:sz w:val="28"/>
          <w:szCs w:val="28"/>
        </w:rPr>
        <w:t xml:space="preserve">(1) </w:t>
      </w:r>
      <w:r w:rsidRPr="004D2F23">
        <w:rPr>
          <w:rFonts w:ascii="Times New Roman" w:hAnsi="Times New Roman" w:cs="Times New Roman"/>
          <w:sz w:val="28"/>
          <w:szCs w:val="28"/>
        </w:rPr>
        <w:t xml:space="preserve">thực hiện giao dịch mua và tiếp quản; </w:t>
      </w:r>
      <w:r w:rsidR="00D24FD7" w:rsidRPr="004D2F23">
        <w:rPr>
          <w:rFonts w:ascii="Times New Roman" w:hAnsi="Times New Roman" w:cs="Times New Roman"/>
          <w:sz w:val="28"/>
          <w:szCs w:val="28"/>
        </w:rPr>
        <w:t xml:space="preserve">(2) </w:t>
      </w:r>
      <w:r w:rsidRPr="004D2F23">
        <w:rPr>
          <w:rFonts w:ascii="Times New Roman" w:hAnsi="Times New Roman" w:cs="Times New Roman"/>
          <w:sz w:val="28"/>
          <w:szCs w:val="28"/>
        </w:rPr>
        <w:t xml:space="preserve">bán các khoản tiền gửi và các hoạt động kinh doanh khác cho một ngân hàng bắc cầu; </w:t>
      </w:r>
      <w:r w:rsidR="00D24FD7" w:rsidRPr="004D2F23">
        <w:rPr>
          <w:rFonts w:ascii="Times New Roman" w:hAnsi="Times New Roman" w:cs="Times New Roman"/>
          <w:sz w:val="28"/>
          <w:szCs w:val="28"/>
        </w:rPr>
        <w:t xml:space="preserve">(3) </w:t>
      </w:r>
      <w:r w:rsidRPr="004D2F23">
        <w:rPr>
          <w:rFonts w:ascii="Times New Roman" w:hAnsi="Times New Roman" w:cs="Times New Roman"/>
          <w:sz w:val="28"/>
          <w:szCs w:val="28"/>
        </w:rPr>
        <w:t xml:space="preserve">cung cấp vốn và hỗ trợ thanh khoản để ngăn chặn sự </w:t>
      </w:r>
      <w:r w:rsidR="008141D2" w:rsidRPr="004D2F23">
        <w:rPr>
          <w:rFonts w:ascii="Times New Roman" w:hAnsi="Times New Roman" w:cs="Times New Roman"/>
          <w:sz w:val="28"/>
          <w:szCs w:val="28"/>
        </w:rPr>
        <w:t>đổ vỡ</w:t>
      </w:r>
      <w:r w:rsidRPr="004D2F23">
        <w:rPr>
          <w:rFonts w:ascii="Times New Roman" w:hAnsi="Times New Roman" w:cs="Times New Roman"/>
          <w:sz w:val="28"/>
          <w:szCs w:val="28"/>
        </w:rPr>
        <w:t xml:space="preserve"> của một ngân hàng đang gặp khó khăn.</w:t>
      </w:r>
      <w:r w:rsidR="00DC0073" w:rsidRPr="004D2F23">
        <w:rPr>
          <w:rFonts w:ascii="Times New Roman" w:hAnsi="Times New Roman" w:cs="Times New Roman"/>
          <w:sz w:val="28"/>
          <w:szCs w:val="28"/>
        </w:rPr>
        <w:t xml:space="preserve"> Dữ liệu năm 2023 của Hiệp hội BHTG khẳng định trách nhiệm của BHTG liên tục tăng lên</w:t>
      </w:r>
      <w:r w:rsidR="008D5674" w:rsidRPr="004D2F23">
        <w:rPr>
          <w:rFonts w:ascii="Times New Roman" w:hAnsi="Times New Roman" w:cs="Times New Roman"/>
          <w:sz w:val="28"/>
          <w:szCs w:val="28"/>
        </w:rPr>
        <w:t>, không chỉ dừng lại ở trách nhiệm chi trả bảo hiểm</w:t>
      </w:r>
      <w:r w:rsidR="00DC0073" w:rsidRPr="004D2F23">
        <w:rPr>
          <w:rFonts w:ascii="Times New Roman" w:hAnsi="Times New Roman" w:cs="Times New Roman"/>
          <w:sz w:val="28"/>
          <w:szCs w:val="28"/>
        </w:rPr>
        <w:t>. Vai trò của các tổ chức BHTG trong việc tái cơ cấu ngân hàng ngày càng trở nên quan trọng. Mặc dù BHTG không phải là cơ quan có thẩm quyền hoàn toàn với việc tái cơ cấu,  hơn 40% các tổ chức BHTG có thể đồng quyết định giải quyết ngân hàng yếu kém.</w:t>
      </w:r>
      <w:r w:rsidR="00DC0073" w:rsidRPr="004D2F23">
        <w:rPr>
          <w:rStyle w:val="FootnoteReference"/>
          <w:rFonts w:ascii="Times New Roman" w:hAnsi="Times New Roman" w:cs="Times New Roman"/>
          <w:sz w:val="28"/>
          <w:szCs w:val="28"/>
        </w:rPr>
        <w:footnoteReference w:id="3"/>
      </w:r>
      <w:r w:rsidR="00191A4F" w:rsidRPr="004D2F23">
        <w:rPr>
          <w:rFonts w:ascii="Times New Roman" w:hAnsi="Times New Roman" w:cs="Times New Roman"/>
          <w:sz w:val="28"/>
          <w:szCs w:val="28"/>
        </w:rPr>
        <w:t xml:space="preserve">  </w:t>
      </w:r>
    </w:p>
    <w:p w14:paraId="32C2354F" w14:textId="77777777" w:rsidR="00DC0073" w:rsidRPr="004D2F23" w:rsidRDefault="00DC0073" w:rsidP="00DC0073">
      <w:pPr>
        <w:ind w:firstLine="720"/>
        <w:jc w:val="both"/>
        <w:rPr>
          <w:rFonts w:ascii="Times New Roman" w:hAnsi="Times New Roman" w:cs="Times New Roman"/>
          <w:sz w:val="28"/>
          <w:szCs w:val="28"/>
        </w:rPr>
      </w:pPr>
      <w:r w:rsidRPr="004D2F23">
        <w:rPr>
          <w:rFonts w:ascii="Times New Roman" w:hAnsi="Times New Roman" w:cs="Times New Roman"/>
          <w:sz w:val="28"/>
          <w:szCs w:val="28"/>
        </w:rPr>
        <w:t>Trong một khảo sát của BIS với 53 tổ chức BHTG vào năm 2019, có 21 tổ chức BHTG cho biết chỉ sử dụng nguồn lực để chi trả bảo hiểm cho người gửi tiền. 32 BHTG còn lại có thể sử dụng nguồn lực của mình cho các biện pháp thay thế. Trong 32 tổ chức BHTG đó:</w:t>
      </w:r>
      <w:bookmarkStart w:id="0" w:name="_GoBack"/>
      <w:bookmarkEnd w:id="0"/>
    </w:p>
    <w:p w14:paraId="5F83DDD5" w14:textId="26BB22BB" w:rsidR="00DC0073" w:rsidRPr="004D2F23" w:rsidRDefault="00DC0073" w:rsidP="00DC0073">
      <w:pPr>
        <w:ind w:firstLine="720"/>
        <w:jc w:val="both"/>
        <w:rPr>
          <w:rFonts w:ascii="Times New Roman" w:hAnsi="Times New Roman" w:cs="Times New Roman"/>
          <w:sz w:val="28"/>
          <w:szCs w:val="28"/>
        </w:rPr>
      </w:pPr>
      <w:r w:rsidRPr="004D2F23">
        <w:rPr>
          <w:rFonts w:ascii="Times New Roman" w:hAnsi="Times New Roman" w:cs="Times New Roman"/>
          <w:sz w:val="28"/>
          <w:szCs w:val="28"/>
        </w:rPr>
        <w:t>- Phần lớn (chiếm khoản</w:t>
      </w:r>
      <w:r w:rsidR="00F846D9" w:rsidRPr="004D2F23">
        <w:rPr>
          <w:rFonts w:ascii="Times New Roman" w:hAnsi="Times New Roman" w:cs="Times New Roman"/>
          <w:sz w:val="28"/>
          <w:szCs w:val="28"/>
        </w:rPr>
        <w:t>g</w:t>
      </w:r>
      <w:r w:rsidRPr="004D2F23">
        <w:rPr>
          <w:rFonts w:ascii="Times New Roman" w:hAnsi="Times New Roman" w:cs="Times New Roman"/>
          <w:sz w:val="28"/>
          <w:szCs w:val="28"/>
        </w:rPr>
        <w:t xml:space="preserve"> 80%) có thể sử dụng nguồn vốn để thực hiện cho việc chuyển tiền gửi được bảo hiểm và các khoản nợ khác của ngân hàng bị phá sản sang một ngân hàng khác. Một tỷ lệ nhỏ hơn (chỉ hơn 60%) có thể sử dụng nguồn vốn để chuyển tiền gửi được bảo hiểm và các khoản nợ khác của ngân hàng bị phá sản sang một ngân hàng bắc cầu.</w:t>
      </w:r>
    </w:p>
    <w:p w14:paraId="60E20ED1" w14:textId="74301967" w:rsidR="00DC0073" w:rsidRPr="004D2F23" w:rsidRDefault="00DC0073" w:rsidP="00DC0073">
      <w:pPr>
        <w:ind w:firstLine="720"/>
        <w:jc w:val="both"/>
        <w:rPr>
          <w:rFonts w:ascii="Times New Roman" w:hAnsi="Times New Roman" w:cs="Times New Roman"/>
          <w:sz w:val="28"/>
          <w:szCs w:val="28"/>
        </w:rPr>
      </w:pPr>
      <w:r w:rsidRPr="004D2F23">
        <w:rPr>
          <w:rFonts w:ascii="Times New Roman" w:hAnsi="Times New Roman" w:cs="Times New Roman"/>
          <w:sz w:val="28"/>
          <w:szCs w:val="28"/>
        </w:rPr>
        <w:lastRenderedPageBreak/>
        <w:t>- 2/3 (68%) có thể cung cấp một số hình thức hỗ trợ tài chính – có thể là vốn hoặc hỗ trợ thanh khoản, hoặc cả hai</w:t>
      </w:r>
      <w:r w:rsidR="00F846D9" w:rsidRPr="004D2F23">
        <w:rPr>
          <w:rFonts w:ascii="Times New Roman" w:hAnsi="Times New Roman" w:cs="Times New Roman"/>
          <w:sz w:val="28"/>
          <w:szCs w:val="28"/>
        </w:rPr>
        <w:t xml:space="preserve"> </w:t>
      </w:r>
      <w:r w:rsidRPr="004D2F23">
        <w:rPr>
          <w:rFonts w:ascii="Times New Roman" w:hAnsi="Times New Roman" w:cs="Times New Roman"/>
          <w:sz w:val="28"/>
          <w:szCs w:val="28"/>
        </w:rPr>
        <w:t xml:space="preserve">- cho ngân hàng đang trong quá trình tái cơ cấu hoặc ngân hàng có nguy cơ (stressed banks) để phòng ngừa đổ vỡ. </w:t>
      </w:r>
    </w:p>
    <w:p w14:paraId="5B5F4AFB" w14:textId="211EDC8A" w:rsidR="00DC0073" w:rsidRPr="004D2F23" w:rsidRDefault="00F27401" w:rsidP="00DC0073">
      <w:pPr>
        <w:ind w:firstLine="720"/>
        <w:jc w:val="both"/>
        <w:rPr>
          <w:rFonts w:ascii="Times New Roman" w:hAnsi="Times New Roman" w:cs="Times New Roman"/>
          <w:sz w:val="28"/>
          <w:szCs w:val="28"/>
        </w:rPr>
      </w:pPr>
      <w:r w:rsidRPr="004D2F23">
        <w:rPr>
          <w:rFonts w:ascii="Times New Roman" w:hAnsi="Times New Roman" w:cs="Times New Roman"/>
          <w:sz w:val="28"/>
          <w:szCs w:val="28"/>
        </w:rPr>
        <w:t>- Một</w:t>
      </w:r>
      <w:r w:rsidR="00DC0073" w:rsidRPr="004D2F23">
        <w:rPr>
          <w:rFonts w:ascii="Times New Roman" w:hAnsi="Times New Roman" w:cs="Times New Roman"/>
          <w:sz w:val="28"/>
          <w:szCs w:val="28"/>
        </w:rPr>
        <w:t xml:space="preserve"> nửa (50%) có thể vừa chuyển tiền vừa cung cấp một số hình thức hỗ trợ tài chính. Hơn một nửa (60%) trong số đó, cơ quan BHTG là cơ quan có thẩm quyền thực hiện tái cơ cấu.</w:t>
      </w:r>
    </w:p>
    <w:p w14:paraId="71CC5DF7" w14:textId="44643582" w:rsidR="00DC0073" w:rsidRPr="004D2F23" w:rsidRDefault="00DC0073" w:rsidP="00DC0073">
      <w:pPr>
        <w:ind w:firstLine="720"/>
        <w:jc w:val="both"/>
        <w:rPr>
          <w:rFonts w:ascii="Times New Roman" w:hAnsi="Times New Roman" w:cs="Times New Roman"/>
          <w:sz w:val="28"/>
          <w:szCs w:val="28"/>
        </w:rPr>
      </w:pPr>
      <w:r w:rsidRPr="004D2F23">
        <w:rPr>
          <w:rFonts w:ascii="Times New Roman" w:hAnsi="Times New Roman" w:cs="Times New Roman"/>
          <w:sz w:val="28"/>
          <w:szCs w:val="28"/>
        </w:rPr>
        <w:t>- 14/32</w:t>
      </w:r>
      <w:r w:rsidR="004C3BD6" w:rsidRPr="004D2F23">
        <w:rPr>
          <w:rFonts w:ascii="Times New Roman" w:hAnsi="Times New Roman" w:cs="Times New Roman"/>
          <w:sz w:val="28"/>
          <w:szCs w:val="28"/>
        </w:rPr>
        <w:t xml:space="preserve"> (44%)</w:t>
      </w:r>
      <w:r w:rsidRPr="004D2F23">
        <w:rPr>
          <w:rFonts w:ascii="Times New Roman" w:hAnsi="Times New Roman" w:cs="Times New Roman"/>
          <w:sz w:val="28"/>
          <w:szCs w:val="28"/>
        </w:rPr>
        <w:t xml:space="preserve"> cơ quan BHTG có nhiệm vụ kép là tổ chức bảo hiểm tiền gửi và cơ quan xử lý tái cơ cấu; và phần lớn trong số đó (11 tổ chức) có thể sử dụng nguồn lực BHTG cho cả mục đích chuyển nhượng và một số hình thức hỗ trợ tài chính. </w:t>
      </w:r>
    </w:p>
    <w:p w14:paraId="483DC451" w14:textId="53658DF9" w:rsidR="00DC0073" w:rsidRPr="004D2F23" w:rsidRDefault="00DC0073" w:rsidP="00DC0073">
      <w:pPr>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 Trong phần lớn các trường hợp (gần 85%), số lượng nguồn lực BHTG có thể được sử dụng trong một trường hợp riêng lẻ khác ngoài việc thanh toán tiền bảo hiểm được giới hạn bằng cách tham chiếu đến các khoản lỗ mà BHTG sẽ phải chịu nếu thanh toán các khoản tiền gửi được bảo hiểm trong quá trình thanh lý. Trong hơn một nửa (khoảng 65%) các khuôn khổ áp dụng nguyên tắc giới hạn tài chính hoặc nguyên tắc chi phí thấp nhất, giới hạn này có tính ràng buộc trong mọi trường hợp. Theo đó, khoảng 35% trong số các khuôn khổ đó cho phép vượt qua giới hạn đó khi đáp ứng các điều kiện cụ thể. Tuy nhiên, trong số 14 cơ quan BHTG là cơ quan có thẩm quyền thực hiện tái cơ cấu, 5 DIA phải tuân </w:t>
      </w:r>
      <w:proofErr w:type="gramStart"/>
      <w:r w:rsidRPr="004D2F23">
        <w:rPr>
          <w:rFonts w:ascii="Times New Roman" w:hAnsi="Times New Roman" w:cs="Times New Roman"/>
          <w:sz w:val="28"/>
          <w:szCs w:val="28"/>
        </w:rPr>
        <w:t>theo</w:t>
      </w:r>
      <w:proofErr w:type="gramEnd"/>
      <w:r w:rsidRPr="004D2F23">
        <w:rPr>
          <w:rFonts w:ascii="Times New Roman" w:hAnsi="Times New Roman" w:cs="Times New Roman"/>
          <w:sz w:val="28"/>
          <w:szCs w:val="28"/>
        </w:rPr>
        <w:t xml:space="preserve"> giới hạn cứng không thể vượt qua.</w:t>
      </w:r>
    </w:p>
    <w:p w14:paraId="04A12D5F" w14:textId="165C4108" w:rsidR="00DC0073" w:rsidRPr="004D2F23" w:rsidRDefault="00DC0073" w:rsidP="00DC0073">
      <w:pPr>
        <w:ind w:firstLine="720"/>
        <w:jc w:val="both"/>
        <w:rPr>
          <w:rFonts w:ascii="Times New Roman" w:hAnsi="Times New Roman" w:cs="Times New Roman"/>
          <w:sz w:val="28"/>
          <w:szCs w:val="28"/>
        </w:rPr>
      </w:pPr>
      <w:r w:rsidRPr="004D2F23">
        <w:rPr>
          <w:rFonts w:ascii="Times New Roman" w:hAnsi="Times New Roman" w:cs="Times New Roman"/>
          <w:sz w:val="28"/>
          <w:szCs w:val="28"/>
        </w:rPr>
        <w:t>- Hơn 40% các khu vực pháp lý được khảo sát có Quỹ tái cơ cấu ngân hàng, tách biệt với Quỹ BHTG. Hơn một nửa trong số</w:t>
      </w:r>
      <w:r w:rsidR="004C3BD6" w:rsidRPr="004D2F23">
        <w:rPr>
          <w:rFonts w:ascii="Times New Roman" w:hAnsi="Times New Roman" w:cs="Times New Roman"/>
          <w:sz w:val="28"/>
          <w:szCs w:val="28"/>
        </w:rPr>
        <w:t xml:space="preserve"> đó (8/</w:t>
      </w:r>
      <w:r w:rsidRPr="004D2F23">
        <w:rPr>
          <w:rFonts w:ascii="Times New Roman" w:hAnsi="Times New Roman" w:cs="Times New Roman"/>
          <w:sz w:val="28"/>
          <w:szCs w:val="28"/>
        </w:rPr>
        <w:t xml:space="preserve">14) là các quốc gia thành viên EU hoặc EEA được yêu cầu duy trì cả quỹ BHTG và Quỹ tái cơ cấu ngân hàng. </w:t>
      </w:r>
    </w:p>
    <w:p w14:paraId="3656561A" w14:textId="0F880E0B" w:rsidR="00BA0348" w:rsidRPr="004D2F23" w:rsidRDefault="00950EB9" w:rsidP="00382F31">
      <w:pPr>
        <w:ind w:firstLine="720"/>
        <w:jc w:val="both"/>
        <w:rPr>
          <w:rFonts w:ascii="Times New Roman" w:hAnsi="Times New Roman" w:cs="Times New Roman"/>
          <w:b/>
          <w:sz w:val="28"/>
          <w:szCs w:val="28"/>
        </w:rPr>
      </w:pPr>
      <w:r w:rsidRPr="004D2F23">
        <w:rPr>
          <w:rFonts w:ascii="Times New Roman" w:hAnsi="Times New Roman" w:cs="Times New Roman"/>
          <w:b/>
          <w:sz w:val="28"/>
          <w:szCs w:val="28"/>
        </w:rPr>
        <w:t>I</w:t>
      </w:r>
      <w:r w:rsidR="00191A4F" w:rsidRPr="004D2F23">
        <w:rPr>
          <w:rFonts w:ascii="Times New Roman" w:hAnsi="Times New Roman" w:cs="Times New Roman"/>
          <w:b/>
          <w:sz w:val="28"/>
          <w:szCs w:val="28"/>
        </w:rPr>
        <w:t>I</w:t>
      </w:r>
      <w:r w:rsidR="00BA0348" w:rsidRPr="004D2F23">
        <w:rPr>
          <w:rFonts w:ascii="Times New Roman" w:hAnsi="Times New Roman" w:cs="Times New Roman"/>
          <w:b/>
          <w:sz w:val="28"/>
          <w:szCs w:val="28"/>
        </w:rPr>
        <w:t>. Về tiêu chuẩn quốc tế:</w:t>
      </w:r>
    </w:p>
    <w:p w14:paraId="5FDDD770" w14:textId="77777777" w:rsidR="00D24FD7" w:rsidRPr="004D2F23" w:rsidRDefault="00D24FD7" w:rsidP="00D24FD7">
      <w:pPr>
        <w:ind w:firstLine="720"/>
        <w:jc w:val="both"/>
        <w:rPr>
          <w:rFonts w:ascii="Times New Roman" w:hAnsi="Times New Roman" w:cs="Times New Roman"/>
          <w:sz w:val="28"/>
          <w:szCs w:val="28"/>
        </w:rPr>
      </w:pPr>
      <w:r w:rsidRPr="004D2F23">
        <w:rPr>
          <w:rFonts w:ascii="Times New Roman" w:hAnsi="Times New Roman" w:cs="Times New Roman"/>
          <w:sz w:val="28"/>
          <w:szCs w:val="28"/>
        </w:rPr>
        <w:t>Hiệp hội bảo hiểm tiền gửi quốc tế (IADA) và Ủy ban giám sát ngân hàng Basel đã ban hành Bộ nguyên tắc cốt lõi của IADA về hệ thống bảo hiểm tiền gửi hiệu quả vào năm 2009 (sửa đổi năm 2014), trong đó Nguyên tắc cốt lõi số 9 (tiêu chí 8) có nêu rằng “Mặc dù không phải là cơ quan có thẩm quyền thực hiện tái cơ cấu, trong phạm vi khuôn khổ pháp lý cho phép, Bảo hiểm tiền gửi được quyền lựa chọn sử dụng quỹ của mình để thực hiện tái cơ cấu TCTD, chứ không chỉ thanh lý TCTD. Trong trường hợp sử dụng quỹ của mình để thực hiện tái cơ cấu TCTD, các điều kiện sau phải thỏa mãn:</w:t>
      </w:r>
    </w:p>
    <w:p w14:paraId="5C9ED1FB" w14:textId="77777777" w:rsidR="00D24FD7" w:rsidRPr="004D2F23" w:rsidRDefault="00D24FD7" w:rsidP="00D24FD7">
      <w:pPr>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a. Tổ chức BHTG được thông báo và tham gia vào quá trình ra quyết định tái cơ cấu TCTD; </w:t>
      </w:r>
    </w:p>
    <w:p w14:paraId="53EA7268" w14:textId="77777777" w:rsidR="00D24FD7" w:rsidRPr="004D2F23" w:rsidRDefault="00D24FD7" w:rsidP="00D24FD7">
      <w:pPr>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b. Việc sử dụng quỹ của tổ chức BHTG phải minh bạch, ghi chép đầy đủ và được thể hiện rõ ràng và chính thức; </w:t>
      </w:r>
    </w:p>
    <w:p w14:paraId="6433F305" w14:textId="672BDC55" w:rsidR="00D24FD7" w:rsidRPr="004D2F23" w:rsidRDefault="00D24FD7" w:rsidP="00D24FD7">
      <w:pPr>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c. Khi một ngân hàng được tái cơ cấu thông qua một quá trình giải quyết khác với thanh lý, việc tái cơ cấu phải tạo nên một ngân hàng có </w:t>
      </w:r>
      <w:r w:rsidR="00F846D9" w:rsidRPr="004D2F23">
        <w:rPr>
          <w:rFonts w:ascii="Times New Roman" w:hAnsi="Times New Roman" w:cs="Times New Roman"/>
          <w:sz w:val="28"/>
          <w:szCs w:val="28"/>
        </w:rPr>
        <w:t>thể hoạt động được</w:t>
      </w:r>
      <w:r w:rsidRPr="004D2F23">
        <w:rPr>
          <w:rFonts w:ascii="Times New Roman" w:hAnsi="Times New Roman" w:cs="Times New Roman"/>
          <w:sz w:val="28"/>
          <w:szCs w:val="28"/>
        </w:rPr>
        <w:t xml:space="preserve">, có </w:t>
      </w:r>
      <w:r w:rsidRPr="004D2F23">
        <w:rPr>
          <w:rFonts w:ascii="Times New Roman" w:hAnsi="Times New Roman" w:cs="Times New Roman"/>
          <w:sz w:val="28"/>
          <w:szCs w:val="28"/>
        </w:rPr>
        <w:lastRenderedPageBreak/>
        <w:t>khả năng thanh toán và được tái cấ</w:t>
      </w:r>
      <w:r w:rsidR="00F846D9" w:rsidRPr="004D2F23">
        <w:rPr>
          <w:rFonts w:ascii="Times New Roman" w:hAnsi="Times New Roman" w:cs="Times New Roman"/>
          <w:sz w:val="28"/>
          <w:szCs w:val="28"/>
        </w:rPr>
        <w:t>u trúc.</w:t>
      </w:r>
      <w:r w:rsidRPr="004D2F23">
        <w:rPr>
          <w:rFonts w:ascii="Times New Roman" w:hAnsi="Times New Roman" w:cs="Times New Roman"/>
          <w:sz w:val="28"/>
          <w:szCs w:val="28"/>
        </w:rPr>
        <w:t xml:space="preserve"> </w:t>
      </w:r>
      <w:r w:rsidR="00F846D9" w:rsidRPr="004D2F23">
        <w:rPr>
          <w:rFonts w:ascii="Times New Roman" w:hAnsi="Times New Roman" w:cs="Times New Roman"/>
          <w:sz w:val="28"/>
          <w:szCs w:val="28"/>
        </w:rPr>
        <w:t>Đ</w:t>
      </w:r>
      <w:r w:rsidRPr="004D2F23">
        <w:rPr>
          <w:rFonts w:ascii="Times New Roman" w:hAnsi="Times New Roman" w:cs="Times New Roman"/>
          <w:sz w:val="28"/>
          <w:szCs w:val="28"/>
        </w:rPr>
        <w:t xml:space="preserve">iều này hạn chế việc tổ chức BHTG phải sử dụng thêm tiền </w:t>
      </w:r>
      <w:r w:rsidR="00F846D9" w:rsidRPr="004D2F23">
        <w:rPr>
          <w:rFonts w:ascii="Times New Roman" w:hAnsi="Times New Roman" w:cs="Times New Roman"/>
          <w:sz w:val="28"/>
          <w:szCs w:val="28"/>
        </w:rPr>
        <w:t>để thực hiện nghĩa vụ chi trả</w:t>
      </w:r>
      <w:r w:rsidRPr="004D2F23">
        <w:rPr>
          <w:rFonts w:ascii="Times New Roman" w:hAnsi="Times New Roman" w:cs="Times New Roman"/>
          <w:sz w:val="28"/>
          <w:szCs w:val="28"/>
        </w:rPr>
        <w:t xml:space="preserve">; </w:t>
      </w:r>
    </w:p>
    <w:p w14:paraId="37FEEE98" w14:textId="485F89D3" w:rsidR="00D24FD7" w:rsidRPr="004D2F23" w:rsidRDefault="00D24FD7" w:rsidP="00D24FD7">
      <w:pPr>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d. Nguồn lực sử dụng từ BHTG bị </w:t>
      </w:r>
      <w:r w:rsidR="00F846D9" w:rsidRPr="004D2F23">
        <w:rPr>
          <w:rFonts w:ascii="Times New Roman" w:hAnsi="Times New Roman" w:cs="Times New Roman"/>
          <w:sz w:val="28"/>
          <w:szCs w:val="28"/>
        </w:rPr>
        <w:t>giới hạn</w:t>
      </w:r>
      <w:r w:rsidRPr="004D2F23">
        <w:rPr>
          <w:rFonts w:ascii="Times New Roman" w:hAnsi="Times New Roman" w:cs="Times New Roman"/>
          <w:sz w:val="28"/>
          <w:szCs w:val="28"/>
        </w:rPr>
        <w:t xml:space="preserve"> ở mức chi phí mà tổ chức BHTG đáng ra phải chi trả cho người gửi tiền được bảo hiểm khi thanh lý ngân hàng đó, sau khi trừ đi các khoản </w:t>
      </w:r>
      <w:proofErr w:type="gramStart"/>
      <w:r w:rsidRPr="004D2F23">
        <w:rPr>
          <w:rFonts w:ascii="Times New Roman" w:hAnsi="Times New Roman" w:cs="Times New Roman"/>
          <w:sz w:val="28"/>
          <w:szCs w:val="28"/>
        </w:rPr>
        <w:t>thu</w:t>
      </w:r>
      <w:proofErr w:type="gramEnd"/>
      <w:r w:rsidRPr="004D2F23">
        <w:rPr>
          <w:rFonts w:ascii="Times New Roman" w:hAnsi="Times New Roman" w:cs="Times New Roman"/>
          <w:sz w:val="28"/>
          <w:szCs w:val="28"/>
        </w:rPr>
        <w:t xml:space="preserve"> hồi dự kiến; </w:t>
      </w:r>
    </w:p>
    <w:p w14:paraId="4A1406A6" w14:textId="77777777" w:rsidR="00D24FD7" w:rsidRPr="004D2F23" w:rsidRDefault="00D24FD7" w:rsidP="00D24FD7">
      <w:pPr>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e. Nguồn lực của BHTG không được sử dụng để tái cấp vốn cho các tổ chức đã đã tái cơ cấu trừ khi quyền lợi của cổ đông giảm xuống bằng không và các chủ nợ không được bảo hiểm, không được bảo đảm phải chịu các thiệt hại ngang nhau theo thứ tự ưu tiên yêu cầu bồi thường hợp pháp; </w:t>
      </w:r>
    </w:p>
    <w:p w14:paraId="7D4FE871" w14:textId="77777777" w:rsidR="00D24FD7" w:rsidRPr="004D2F23" w:rsidRDefault="00D24FD7" w:rsidP="00D24FD7">
      <w:pPr>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f. Việc sử dụng quỹ của BHTG phải được kiểm toán độc lập; và </w:t>
      </w:r>
    </w:p>
    <w:p w14:paraId="7D952498" w14:textId="77777777" w:rsidR="00D24FD7" w:rsidRPr="004D2F23" w:rsidRDefault="00D24FD7" w:rsidP="00D24FD7">
      <w:pPr>
        <w:ind w:firstLine="720"/>
        <w:jc w:val="both"/>
        <w:rPr>
          <w:rFonts w:ascii="Times New Roman" w:hAnsi="Times New Roman" w:cs="Times New Roman"/>
          <w:sz w:val="28"/>
          <w:szCs w:val="28"/>
        </w:rPr>
      </w:pPr>
      <w:r w:rsidRPr="004D2F23">
        <w:rPr>
          <w:rFonts w:ascii="Times New Roman" w:hAnsi="Times New Roman" w:cs="Times New Roman"/>
          <w:sz w:val="28"/>
          <w:szCs w:val="28"/>
        </w:rPr>
        <w:t>g. Tất cả các biện pháp/ quyết định sử dụng nguồn BHTG phải được đánh giá lại (ex post review).</w:t>
      </w:r>
    </w:p>
    <w:p w14:paraId="7B5C0762" w14:textId="77777777" w:rsidR="00950EB9" w:rsidRPr="004D2F23" w:rsidRDefault="00950EB9" w:rsidP="00950EB9">
      <w:pPr>
        <w:ind w:firstLine="720"/>
        <w:jc w:val="both"/>
        <w:rPr>
          <w:rFonts w:ascii="Times New Roman" w:hAnsi="Times New Roman" w:cs="Times New Roman"/>
          <w:b/>
          <w:sz w:val="28"/>
          <w:szCs w:val="28"/>
        </w:rPr>
      </w:pPr>
      <w:r w:rsidRPr="004D2F23">
        <w:rPr>
          <w:rFonts w:ascii="Times New Roman" w:hAnsi="Times New Roman" w:cs="Times New Roman"/>
          <w:b/>
          <w:sz w:val="28"/>
          <w:szCs w:val="28"/>
        </w:rPr>
        <w:t>III. Biện pháp cụ thể:</w:t>
      </w:r>
    </w:p>
    <w:p w14:paraId="14942407" w14:textId="77777777" w:rsidR="00ED57FE" w:rsidRPr="004D2F23" w:rsidRDefault="00950EB9" w:rsidP="00950EB9">
      <w:pPr>
        <w:ind w:firstLine="720"/>
        <w:jc w:val="both"/>
        <w:rPr>
          <w:rFonts w:ascii="Times New Roman" w:hAnsi="Times New Roman" w:cs="Times New Roman"/>
          <w:b/>
          <w:sz w:val="28"/>
          <w:szCs w:val="28"/>
        </w:rPr>
      </w:pPr>
      <w:r w:rsidRPr="004D2F23">
        <w:rPr>
          <w:rFonts w:ascii="Times New Roman" w:hAnsi="Times New Roman" w:cs="Times New Roman"/>
          <w:b/>
          <w:sz w:val="28"/>
          <w:szCs w:val="28"/>
        </w:rPr>
        <w:t xml:space="preserve">1. </w:t>
      </w:r>
      <w:r w:rsidR="00ED57FE" w:rsidRPr="004D2F23">
        <w:rPr>
          <w:rFonts w:ascii="Times New Roman" w:hAnsi="Times New Roman" w:cs="Times New Roman"/>
          <w:b/>
          <w:sz w:val="28"/>
          <w:szCs w:val="28"/>
        </w:rPr>
        <w:t>Hỗ trợ về vốn và thanh khoản</w:t>
      </w:r>
    </w:p>
    <w:p w14:paraId="5FB7EFB9" w14:textId="42F2F2A5" w:rsidR="00ED57FE" w:rsidRPr="004D2F23" w:rsidRDefault="00ED57FE" w:rsidP="00A955CF">
      <w:pPr>
        <w:ind w:firstLine="720"/>
        <w:jc w:val="both"/>
        <w:rPr>
          <w:rFonts w:ascii="Times New Roman" w:hAnsi="Times New Roman" w:cs="Times New Roman"/>
          <w:sz w:val="28"/>
          <w:szCs w:val="28"/>
        </w:rPr>
      </w:pPr>
      <w:r w:rsidRPr="004D2F23">
        <w:rPr>
          <w:rFonts w:ascii="Times New Roman" w:hAnsi="Times New Roman" w:cs="Times New Roman"/>
          <w:sz w:val="28"/>
          <w:szCs w:val="28"/>
        </w:rPr>
        <w:t>Khoản 50% tổ chức BHTG được khảo sát có thể cung cấp vốn cho các thành viên bảo hiểm; 5 tổ chức BHTG có thể cung cấp hỗ trợ vốn cho các thành viên cả trước khi thành viên mất khả năng chi trả hoặc trong quá trình thực hiện tái cơ cấu, hoặc cả hai. Mỗi tổ chứ</w:t>
      </w:r>
      <w:r w:rsidR="00A955CF" w:rsidRPr="004D2F23">
        <w:rPr>
          <w:rFonts w:ascii="Times New Roman" w:hAnsi="Times New Roman" w:cs="Times New Roman"/>
          <w:sz w:val="28"/>
          <w:szCs w:val="28"/>
        </w:rPr>
        <w:t xml:space="preserve">c BHTG này </w:t>
      </w:r>
      <w:r w:rsidRPr="004D2F23">
        <w:rPr>
          <w:rFonts w:ascii="Times New Roman" w:hAnsi="Times New Roman" w:cs="Times New Roman"/>
          <w:sz w:val="28"/>
          <w:szCs w:val="28"/>
        </w:rPr>
        <w:t>có thể cung cấp thanh khoản trong ít nhất một số trường hợp. 6 tổ chức BHTG chỉ có thể cung cấp vốn cho các ngân hàng chưa mất khả năng thanh toán. 5 tổ chức BHTG chỉ có thể cung cấp vốn cho các ngân hàng trong quá trình tái cơ cấ</w:t>
      </w:r>
      <w:r w:rsidR="00A955CF" w:rsidRPr="004D2F23">
        <w:rPr>
          <w:rFonts w:ascii="Times New Roman" w:hAnsi="Times New Roman" w:cs="Times New Roman"/>
          <w:sz w:val="28"/>
          <w:szCs w:val="28"/>
        </w:rPr>
        <w:t>u.</w:t>
      </w:r>
    </w:p>
    <w:tbl>
      <w:tblPr>
        <w:tblW w:w="10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1134"/>
        <w:gridCol w:w="59"/>
        <w:gridCol w:w="1358"/>
        <w:gridCol w:w="1418"/>
        <w:gridCol w:w="1276"/>
        <w:gridCol w:w="22"/>
        <w:gridCol w:w="1358"/>
        <w:gridCol w:w="37"/>
        <w:gridCol w:w="1985"/>
      </w:tblGrid>
      <w:tr w:rsidR="004D2F23" w:rsidRPr="004D2F23" w14:paraId="460DC2E8" w14:textId="77777777" w:rsidTr="00351B31">
        <w:trPr>
          <w:trHeight w:val="188"/>
        </w:trPr>
        <w:tc>
          <w:tcPr>
            <w:tcW w:w="10168" w:type="dxa"/>
            <w:gridSpan w:val="10"/>
          </w:tcPr>
          <w:p w14:paraId="2E747DE0" w14:textId="77777777" w:rsidR="00ED57FE" w:rsidRPr="004D2F23" w:rsidRDefault="001943B5" w:rsidP="00ED57FE">
            <w:pPr>
              <w:autoSpaceDE w:val="0"/>
              <w:autoSpaceDN w:val="0"/>
              <w:adjustRightInd w:val="0"/>
              <w:spacing w:after="0" w:line="240" w:lineRule="auto"/>
              <w:jc w:val="center"/>
              <w:rPr>
                <w:rFonts w:ascii="Times New Roman" w:hAnsi="Times New Roman" w:cs="Times New Roman"/>
                <w:b/>
                <w:sz w:val="28"/>
                <w:szCs w:val="28"/>
              </w:rPr>
            </w:pPr>
            <w:r w:rsidRPr="004D2F23">
              <w:rPr>
                <w:rFonts w:ascii="Times New Roman" w:hAnsi="Times New Roman" w:cs="Times New Roman"/>
                <w:b/>
                <w:sz w:val="28"/>
                <w:szCs w:val="28"/>
              </w:rPr>
              <w:t>HỖ TRỢ VỀ VỐN</w:t>
            </w:r>
          </w:p>
        </w:tc>
      </w:tr>
      <w:tr w:rsidR="004D2F23" w:rsidRPr="004D2F23" w14:paraId="40205068" w14:textId="77777777" w:rsidTr="00700EF3">
        <w:trPr>
          <w:trHeight w:val="403"/>
        </w:trPr>
        <w:tc>
          <w:tcPr>
            <w:tcW w:w="1521" w:type="dxa"/>
          </w:tcPr>
          <w:p w14:paraId="18FB1187" w14:textId="77777777" w:rsidR="00ED57FE" w:rsidRPr="004D2F23" w:rsidRDefault="003E5A33" w:rsidP="00ED57FE">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Quốc gia (tổ chức BHTG)</w:t>
            </w:r>
            <w:r w:rsidR="00ED57FE" w:rsidRPr="004D2F23">
              <w:rPr>
                <w:rFonts w:ascii="Times New Roman" w:hAnsi="Times New Roman" w:cs="Times New Roman"/>
                <w:b/>
                <w:sz w:val="28"/>
                <w:szCs w:val="28"/>
              </w:rPr>
              <w:t xml:space="preserve"> </w:t>
            </w:r>
          </w:p>
        </w:tc>
        <w:tc>
          <w:tcPr>
            <w:tcW w:w="2551" w:type="dxa"/>
            <w:gridSpan w:val="3"/>
          </w:tcPr>
          <w:p w14:paraId="72DC3A50" w14:textId="77777777" w:rsidR="00ED57FE" w:rsidRPr="004D2F23" w:rsidRDefault="003E5A33" w:rsidP="00ED57FE">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Hỗ trợ về vốn</w:t>
            </w:r>
            <w:r w:rsidR="00ED57FE" w:rsidRPr="004D2F23">
              <w:rPr>
                <w:rFonts w:ascii="Times New Roman" w:hAnsi="Times New Roman" w:cs="Times New Roman"/>
                <w:b/>
                <w:sz w:val="28"/>
                <w:szCs w:val="28"/>
              </w:rPr>
              <w:t xml:space="preserve"> </w:t>
            </w:r>
          </w:p>
        </w:tc>
        <w:tc>
          <w:tcPr>
            <w:tcW w:w="2694" w:type="dxa"/>
            <w:gridSpan w:val="2"/>
          </w:tcPr>
          <w:p w14:paraId="05B5F9D7" w14:textId="77777777" w:rsidR="00ED57FE" w:rsidRPr="004D2F23" w:rsidRDefault="003E5A33" w:rsidP="00ED57FE">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Các biện pháp bảo đảm an toàn (safeguards)</w:t>
            </w:r>
            <w:r w:rsidR="00ED57FE" w:rsidRPr="004D2F23">
              <w:rPr>
                <w:rFonts w:ascii="Times New Roman" w:hAnsi="Times New Roman" w:cs="Times New Roman"/>
                <w:b/>
                <w:sz w:val="28"/>
                <w:szCs w:val="28"/>
              </w:rPr>
              <w:t xml:space="preserve"> </w:t>
            </w:r>
          </w:p>
        </w:tc>
        <w:tc>
          <w:tcPr>
            <w:tcW w:w="3402" w:type="dxa"/>
            <w:gridSpan w:val="4"/>
          </w:tcPr>
          <w:p w14:paraId="313E5A70" w14:textId="3051ED37" w:rsidR="00ED57FE" w:rsidRPr="004D2F23" w:rsidRDefault="003E5A33" w:rsidP="00ED57FE">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Các nguồn vốn khác</w:t>
            </w:r>
            <w:r w:rsidR="00A955CF" w:rsidRPr="004D2F23">
              <w:rPr>
                <w:rFonts w:ascii="Times New Roman" w:hAnsi="Times New Roman" w:cs="Times New Roman"/>
                <w:b/>
                <w:sz w:val="28"/>
                <w:szCs w:val="28"/>
              </w:rPr>
              <w:t>**</w:t>
            </w:r>
            <w:r w:rsidR="00ED57FE" w:rsidRPr="004D2F23">
              <w:rPr>
                <w:rFonts w:ascii="Times New Roman" w:hAnsi="Times New Roman" w:cs="Times New Roman"/>
                <w:b/>
                <w:sz w:val="28"/>
                <w:szCs w:val="28"/>
              </w:rPr>
              <w:t xml:space="preserve"> </w:t>
            </w:r>
          </w:p>
        </w:tc>
      </w:tr>
      <w:tr w:rsidR="004D2F23" w:rsidRPr="004D2F23" w14:paraId="09AB7673" w14:textId="77777777" w:rsidTr="00700EF3">
        <w:trPr>
          <w:trHeight w:val="371"/>
        </w:trPr>
        <w:tc>
          <w:tcPr>
            <w:tcW w:w="1521" w:type="dxa"/>
          </w:tcPr>
          <w:p w14:paraId="6929C159" w14:textId="3CBBD05A" w:rsidR="00A955CF" w:rsidRPr="004D2F23" w:rsidRDefault="00A955CF" w:rsidP="00A955CF">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                            </w:t>
            </w:r>
          </w:p>
        </w:tc>
        <w:tc>
          <w:tcPr>
            <w:tcW w:w="1134" w:type="dxa"/>
          </w:tcPr>
          <w:p w14:paraId="1036D5E3" w14:textId="0C34CF03" w:rsidR="00A955CF" w:rsidRPr="004D2F23" w:rsidRDefault="00A955CF" w:rsidP="003E5A33">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                                 Ngoài phạm vi tái cơ cấu  </w:t>
            </w:r>
          </w:p>
        </w:tc>
        <w:tc>
          <w:tcPr>
            <w:tcW w:w="1417" w:type="dxa"/>
            <w:gridSpan w:val="2"/>
          </w:tcPr>
          <w:p w14:paraId="22B81F16" w14:textId="77777777" w:rsidR="00A955CF" w:rsidRPr="004D2F23" w:rsidRDefault="00A955CF" w:rsidP="003E5A33">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Cho ngân hàng đang trong quá trình tái cơ cấu </w:t>
            </w:r>
          </w:p>
        </w:tc>
        <w:tc>
          <w:tcPr>
            <w:tcW w:w="1418" w:type="dxa"/>
          </w:tcPr>
          <w:p w14:paraId="0C8D5C9F" w14:textId="77777777" w:rsidR="00A955CF" w:rsidRPr="004D2F23" w:rsidRDefault="00A955CF" w:rsidP="003E5A33">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Giới hạn tài chính (financial cap) </w:t>
            </w:r>
          </w:p>
        </w:tc>
        <w:tc>
          <w:tcPr>
            <w:tcW w:w="1276" w:type="dxa"/>
          </w:tcPr>
          <w:p w14:paraId="2626FA22" w14:textId="77777777" w:rsidR="00A955CF" w:rsidRPr="004D2F23" w:rsidRDefault="00A955CF" w:rsidP="003E5A33">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Khả năng vượt quá giới hạn tài chính </w:t>
            </w:r>
          </w:p>
        </w:tc>
        <w:tc>
          <w:tcPr>
            <w:tcW w:w="1417" w:type="dxa"/>
            <w:gridSpan w:val="3"/>
          </w:tcPr>
          <w:p w14:paraId="4056B0EF" w14:textId="77777777" w:rsidR="00A955CF" w:rsidRPr="004D2F23" w:rsidRDefault="00A955CF" w:rsidP="003E5A33">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Nguồn vốn dự phòng từ khu vực công (Public backup funding) </w:t>
            </w:r>
          </w:p>
        </w:tc>
        <w:tc>
          <w:tcPr>
            <w:tcW w:w="1985" w:type="dxa"/>
          </w:tcPr>
          <w:p w14:paraId="58CE9EB5" w14:textId="77777777" w:rsidR="00A955CF" w:rsidRPr="004D2F23" w:rsidRDefault="00A955CF" w:rsidP="003E5A33">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Vay (Private borrowing)</w:t>
            </w:r>
          </w:p>
        </w:tc>
      </w:tr>
      <w:tr w:rsidR="004D2F23" w:rsidRPr="004D2F23" w14:paraId="45FFEB5B" w14:textId="77777777" w:rsidTr="00700EF3">
        <w:trPr>
          <w:trHeight w:val="145"/>
        </w:trPr>
        <w:tc>
          <w:tcPr>
            <w:tcW w:w="1521" w:type="dxa"/>
          </w:tcPr>
          <w:p w14:paraId="11EBD473" w14:textId="77777777" w:rsidR="00ED57FE" w:rsidRPr="004D2F23" w:rsidRDefault="00ED57FE" w:rsidP="00ED57FE">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Bahamas (DIC-BS) </w:t>
            </w:r>
          </w:p>
        </w:tc>
        <w:tc>
          <w:tcPr>
            <w:tcW w:w="1193" w:type="dxa"/>
            <w:gridSpan w:val="2"/>
          </w:tcPr>
          <w:p w14:paraId="1F41FBDF"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4168676A"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8" w:type="dxa"/>
          </w:tcPr>
          <w:p w14:paraId="5D541955"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8" w:type="dxa"/>
            <w:gridSpan w:val="2"/>
          </w:tcPr>
          <w:p w14:paraId="7E5CCB2F" w14:textId="77777777" w:rsidR="00ED57FE" w:rsidRPr="004D2F23" w:rsidRDefault="00ED57FE" w:rsidP="00ED57FE">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 </w:t>
            </w:r>
          </w:p>
        </w:tc>
        <w:tc>
          <w:tcPr>
            <w:tcW w:w="1358" w:type="dxa"/>
          </w:tcPr>
          <w:p w14:paraId="48EBCD33"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22" w:type="dxa"/>
            <w:gridSpan w:val="2"/>
          </w:tcPr>
          <w:p w14:paraId="192BF26C"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6A553632" w14:textId="77777777" w:rsidTr="00700EF3">
        <w:trPr>
          <w:trHeight w:val="158"/>
        </w:trPr>
        <w:tc>
          <w:tcPr>
            <w:tcW w:w="1521" w:type="dxa"/>
          </w:tcPr>
          <w:p w14:paraId="05F4DEE6" w14:textId="77777777" w:rsidR="00ED57FE" w:rsidRPr="004D2F23" w:rsidRDefault="00ED57FE" w:rsidP="00ED57FE">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lastRenderedPageBreak/>
              <w:t xml:space="preserve">Brazil (FGC) </w:t>
            </w:r>
          </w:p>
        </w:tc>
        <w:tc>
          <w:tcPr>
            <w:tcW w:w="1193" w:type="dxa"/>
            <w:gridSpan w:val="2"/>
          </w:tcPr>
          <w:p w14:paraId="1E17D30E"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13088E17"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8" w:type="dxa"/>
          </w:tcPr>
          <w:p w14:paraId="4A3FBF34"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8" w:type="dxa"/>
            <w:gridSpan w:val="2"/>
          </w:tcPr>
          <w:p w14:paraId="0A97063C"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5ED6E531"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22" w:type="dxa"/>
            <w:gridSpan w:val="2"/>
          </w:tcPr>
          <w:p w14:paraId="752367E2"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6D1CC81B" w14:textId="77777777" w:rsidTr="00700EF3">
        <w:trPr>
          <w:trHeight w:val="145"/>
        </w:trPr>
        <w:tc>
          <w:tcPr>
            <w:tcW w:w="1521" w:type="dxa"/>
          </w:tcPr>
          <w:p w14:paraId="620D07FC" w14:textId="77777777" w:rsidR="00ED57FE" w:rsidRPr="004D2F23" w:rsidRDefault="00ED57FE" w:rsidP="00ED57FE">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Canada (CDIC)*** </w:t>
            </w:r>
          </w:p>
        </w:tc>
        <w:tc>
          <w:tcPr>
            <w:tcW w:w="1193" w:type="dxa"/>
            <w:gridSpan w:val="2"/>
          </w:tcPr>
          <w:p w14:paraId="28F83700"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5562B66B"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8" w:type="dxa"/>
          </w:tcPr>
          <w:p w14:paraId="46FD0249"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8" w:type="dxa"/>
            <w:gridSpan w:val="2"/>
          </w:tcPr>
          <w:p w14:paraId="734D7512"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7D912979"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22" w:type="dxa"/>
            <w:gridSpan w:val="2"/>
          </w:tcPr>
          <w:p w14:paraId="44F1036A"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5D4D71ED" w14:textId="77777777" w:rsidTr="00700EF3">
        <w:trPr>
          <w:trHeight w:val="157"/>
        </w:trPr>
        <w:tc>
          <w:tcPr>
            <w:tcW w:w="1521" w:type="dxa"/>
          </w:tcPr>
          <w:p w14:paraId="0435A268" w14:textId="77777777" w:rsidR="00ED57FE" w:rsidRPr="004D2F23" w:rsidRDefault="00ED57FE" w:rsidP="00ED57FE">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Colombia (Fogafín) </w:t>
            </w:r>
          </w:p>
        </w:tc>
        <w:tc>
          <w:tcPr>
            <w:tcW w:w="1193" w:type="dxa"/>
            <w:gridSpan w:val="2"/>
          </w:tcPr>
          <w:p w14:paraId="18A42728"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6C7EE5EC"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8" w:type="dxa"/>
          </w:tcPr>
          <w:p w14:paraId="5B477802"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8" w:type="dxa"/>
            <w:gridSpan w:val="2"/>
          </w:tcPr>
          <w:p w14:paraId="5FD3C682"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5A7344A3"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22" w:type="dxa"/>
            <w:gridSpan w:val="2"/>
          </w:tcPr>
          <w:p w14:paraId="131D1223"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0EE13D04" w14:textId="77777777" w:rsidTr="00700EF3">
        <w:trPr>
          <w:trHeight w:val="145"/>
        </w:trPr>
        <w:tc>
          <w:tcPr>
            <w:tcW w:w="1521" w:type="dxa"/>
          </w:tcPr>
          <w:p w14:paraId="7F186730" w14:textId="77777777" w:rsidR="00ED57FE" w:rsidRPr="004D2F23" w:rsidRDefault="00ED57FE" w:rsidP="00ED57FE">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Germany (BVR) </w:t>
            </w:r>
          </w:p>
        </w:tc>
        <w:tc>
          <w:tcPr>
            <w:tcW w:w="1193" w:type="dxa"/>
            <w:gridSpan w:val="2"/>
          </w:tcPr>
          <w:p w14:paraId="663B9153"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164304C8"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8" w:type="dxa"/>
          </w:tcPr>
          <w:p w14:paraId="241B2827"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8" w:type="dxa"/>
            <w:gridSpan w:val="2"/>
          </w:tcPr>
          <w:p w14:paraId="40E01C30"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70A623DE"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22" w:type="dxa"/>
            <w:gridSpan w:val="2"/>
          </w:tcPr>
          <w:p w14:paraId="30BAF1F6"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22407813" w14:textId="77777777" w:rsidTr="00700EF3">
        <w:trPr>
          <w:trHeight w:val="157"/>
        </w:trPr>
        <w:tc>
          <w:tcPr>
            <w:tcW w:w="1521" w:type="dxa"/>
          </w:tcPr>
          <w:p w14:paraId="71EE8357" w14:textId="77777777" w:rsidR="00ED57FE" w:rsidRPr="004D2F23" w:rsidRDefault="00ED57FE" w:rsidP="00ED57FE">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Germany (DPFB) </w:t>
            </w:r>
          </w:p>
        </w:tc>
        <w:tc>
          <w:tcPr>
            <w:tcW w:w="1193" w:type="dxa"/>
            <w:gridSpan w:val="2"/>
          </w:tcPr>
          <w:p w14:paraId="663185FB"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14EDE53F"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8" w:type="dxa"/>
          </w:tcPr>
          <w:p w14:paraId="05806D6B"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8" w:type="dxa"/>
            <w:gridSpan w:val="2"/>
          </w:tcPr>
          <w:p w14:paraId="2AF258F2" w14:textId="77777777" w:rsidR="00ED57FE" w:rsidRPr="004D2F23" w:rsidRDefault="00ED57FE" w:rsidP="00ED57FE">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 </w:t>
            </w:r>
          </w:p>
        </w:tc>
        <w:tc>
          <w:tcPr>
            <w:tcW w:w="1358" w:type="dxa"/>
          </w:tcPr>
          <w:p w14:paraId="2E4B02CC"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22" w:type="dxa"/>
            <w:gridSpan w:val="2"/>
          </w:tcPr>
          <w:p w14:paraId="0EB71F82"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42EE7371" w14:textId="77777777" w:rsidTr="00700EF3">
        <w:trPr>
          <w:trHeight w:val="145"/>
        </w:trPr>
        <w:tc>
          <w:tcPr>
            <w:tcW w:w="1521" w:type="dxa"/>
          </w:tcPr>
          <w:p w14:paraId="1E4B2D12" w14:textId="77777777" w:rsidR="00ED57FE" w:rsidRPr="004D2F23" w:rsidRDefault="00ED57FE" w:rsidP="00ED57FE">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Indonesia (IDIC) </w:t>
            </w:r>
          </w:p>
        </w:tc>
        <w:tc>
          <w:tcPr>
            <w:tcW w:w="1193" w:type="dxa"/>
            <w:gridSpan w:val="2"/>
          </w:tcPr>
          <w:p w14:paraId="450CDFE9"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19F6B55B"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8" w:type="dxa"/>
          </w:tcPr>
          <w:p w14:paraId="28981104"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8" w:type="dxa"/>
            <w:gridSpan w:val="2"/>
          </w:tcPr>
          <w:p w14:paraId="6CD19FB1"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40E82FF4"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22" w:type="dxa"/>
            <w:gridSpan w:val="2"/>
          </w:tcPr>
          <w:p w14:paraId="268477A3"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1DE154BB" w14:textId="77777777" w:rsidTr="00700EF3">
        <w:trPr>
          <w:trHeight w:val="157"/>
        </w:trPr>
        <w:tc>
          <w:tcPr>
            <w:tcW w:w="1521" w:type="dxa"/>
          </w:tcPr>
          <w:p w14:paraId="50CF9DFA" w14:textId="77777777" w:rsidR="00ED57FE" w:rsidRPr="004D2F23" w:rsidRDefault="00ED57FE" w:rsidP="00ED57FE">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Italy (FITD) </w:t>
            </w:r>
          </w:p>
        </w:tc>
        <w:tc>
          <w:tcPr>
            <w:tcW w:w="1193" w:type="dxa"/>
            <w:gridSpan w:val="2"/>
          </w:tcPr>
          <w:p w14:paraId="47EC5730"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50D99E55"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8" w:type="dxa"/>
          </w:tcPr>
          <w:p w14:paraId="479C112C"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8" w:type="dxa"/>
            <w:gridSpan w:val="2"/>
          </w:tcPr>
          <w:p w14:paraId="494BAD36"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7740BD7E"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22" w:type="dxa"/>
            <w:gridSpan w:val="2"/>
          </w:tcPr>
          <w:p w14:paraId="09B2728E"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2E0951D0" w14:textId="77777777" w:rsidTr="00700EF3">
        <w:trPr>
          <w:trHeight w:val="146"/>
        </w:trPr>
        <w:tc>
          <w:tcPr>
            <w:tcW w:w="1521" w:type="dxa"/>
          </w:tcPr>
          <w:p w14:paraId="687C44AD" w14:textId="77777777" w:rsidR="00ED57FE" w:rsidRPr="004D2F23" w:rsidRDefault="00ED57FE" w:rsidP="00ED57FE">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Korea (KDIC) </w:t>
            </w:r>
          </w:p>
        </w:tc>
        <w:tc>
          <w:tcPr>
            <w:tcW w:w="1193" w:type="dxa"/>
            <w:gridSpan w:val="2"/>
          </w:tcPr>
          <w:p w14:paraId="02638A47"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3FBC68B6"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8" w:type="dxa"/>
          </w:tcPr>
          <w:p w14:paraId="3A09DA53"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8" w:type="dxa"/>
            <w:gridSpan w:val="2"/>
          </w:tcPr>
          <w:p w14:paraId="27096238"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2E09BD6F"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22" w:type="dxa"/>
            <w:gridSpan w:val="2"/>
          </w:tcPr>
          <w:p w14:paraId="46B522EA"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67CF4B4A" w14:textId="77777777" w:rsidTr="00700EF3">
        <w:trPr>
          <w:trHeight w:val="157"/>
        </w:trPr>
        <w:tc>
          <w:tcPr>
            <w:tcW w:w="1521" w:type="dxa"/>
          </w:tcPr>
          <w:p w14:paraId="36945422" w14:textId="77777777" w:rsidR="00ED57FE" w:rsidRPr="004D2F23" w:rsidRDefault="00ED57FE" w:rsidP="00ED57FE">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Mexico (IPAB) </w:t>
            </w:r>
          </w:p>
        </w:tc>
        <w:tc>
          <w:tcPr>
            <w:tcW w:w="1193" w:type="dxa"/>
            <w:gridSpan w:val="2"/>
          </w:tcPr>
          <w:p w14:paraId="736C5F56"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1F924EEB"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8" w:type="dxa"/>
          </w:tcPr>
          <w:p w14:paraId="4AEA5DC5"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8" w:type="dxa"/>
            <w:gridSpan w:val="2"/>
          </w:tcPr>
          <w:p w14:paraId="1C1C2496"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7EB4560C"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22" w:type="dxa"/>
            <w:gridSpan w:val="2"/>
          </w:tcPr>
          <w:p w14:paraId="6755F61B"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6C31EF33" w14:textId="77777777" w:rsidTr="00700EF3">
        <w:trPr>
          <w:trHeight w:val="145"/>
        </w:trPr>
        <w:tc>
          <w:tcPr>
            <w:tcW w:w="1521" w:type="dxa"/>
          </w:tcPr>
          <w:p w14:paraId="16883BCA" w14:textId="77777777" w:rsidR="00ED57FE" w:rsidRPr="004D2F23" w:rsidRDefault="00ED57FE" w:rsidP="00ED57FE">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Morocco (FCGB) </w:t>
            </w:r>
          </w:p>
        </w:tc>
        <w:tc>
          <w:tcPr>
            <w:tcW w:w="1193" w:type="dxa"/>
            <w:gridSpan w:val="2"/>
          </w:tcPr>
          <w:p w14:paraId="036A6910"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244D3287"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8" w:type="dxa"/>
          </w:tcPr>
          <w:p w14:paraId="409822DC"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8" w:type="dxa"/>
            <w:gridSpan w:val="2"/>
          </w:tcPr>
          <w:p w14:paraId="277E2625"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2D8A1336"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22" w:type="dxa"/>
            <w:gridSpan w:val="2"/>
          </w:tcPr>
          <w:p w14:paraId="250FDA2E"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19E6DCBE" w14:textId="77777777" w:rsidTr="00700EF3">
        <w:trPr>
          <w:trHeight w:val="157"/>
        </w:trPr>
        <w:tc>
          <w:tcPr>
            <w:tcW w:w="1521" w:type="dxa"/>
          </w:tcPr>
          <w:p w14:paraId="52B26539" w14:textId="77777777" w:rsidR="00ED57FE" w:rsidRPr="004D2F23" w:rsidRDefault="00ED57FE" w:rsidP="00ED57FE">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Nigeria (NDIC) </w:t>
            </w:r>
          </w:p>
        </w:tc>
        <w:tc>
          <w:tcPr>
            <w:tcW w:w="1193" w:type="dxa"/>
            <w:gridSpan w:val="2"/>
          </w:tcPr>
          <w:p w14:paraId="20E2128D"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1BEE72B5"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8" w:type="dxa"/>
          </w:tcPr>
          <w:p w14:paraId="25B3482C"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8" w:type="dxa"/>
            <w:gridSpan w:val="2"/>
          </w:tcPr>
          <w:p w14:paraId="69E47F39"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7DF1933B"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22" w:type="dxa"/>
            <w:gridSpan w:val="2"/>
          </w:tcPr>
          <w:p w14:paraId="37AA435B"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750A1B60" w14:textId="77777777" w:rsidTr="00700EF3">
        <w:trPr>
          <w:trHeight w:val="145"/>
        </w:trPr>
        <w:tc>
          <w:tcPr>
            <w:tcW w:w="1521" w:type="dxa"/>
          </w:tcPr>
          <w:p w14:paraId="48AF20F7" w14:textId="77777777" w:rsidR="00ED57FE" w:rsidRPr="004D2F23" w:rsidRDefault="00ED57FE" w:rsidP="00ED57FE">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Norway (NBGF) </w:t>
            </w:r>
          </w:p>
        </w:tc>
        <w:tc>
          <w:tcPr>
            <w:tcW w:w="1193" w:type="dxa"/>
            <w:gridSpan w:val="2"/>
          </w:tcPr>
          <w:p w14:paraId="01908990"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20FA0705"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8" w:type="dxa"/>
          </w:tcPr>
          <w:p w14:paraId="32EC1D04"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8" w:type="dxa"/>
            <w:gridSpan w:val="2"/>
          </w:tcPr>
          <w:p w14:paraId="2721EB66"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5B506814"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22" w:type="dxa"/>
            <w:gridSpan w:val="2"/>
          </w:tcPr>
          <w:p w14:paraId="36B5BC6B"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5A821D0B" w14:textId="77777777" w:rsidTr="00700EF3">
        <w:trPr>
          <w:trHeight w:val="158"/>
        </w:trPr>
        <w:tc>
          <w:tcPr>
            <w:tcW w:w="1521" w:type="dxa"/>
          </w:tcPr>
          <w:p w14:paraId="1FC92F28" w14:textId="77777777" w:rsidR="00ED57FE" w:rsidRPr="004D2F23" w:rsidRDefault="00ED57FE" w:rsidP="00ED57FE">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Spain (FGD) </w:t>
            </w:r>
          </w:p>
        </w:tc>
        <w:tc>
          <w:tcPr>
            <w:tcW w:w="1193" w:type="dxa"/>
            <w:gridSpan w:val="2"/>
          </w:tcPr>
          <w:p w14:paraId="0422DFFC"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48F780D7"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8" w:type="dxa"/>
          </w:tcPr>
          <w:p w14:paraId="5A169E15"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8" w:type="dxa"/>
            <w:gridSpan w:val="2"/>
          </w:tcPr>
          <w:p w14:paraId="30BB6DA3"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2169D02C"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22" w:type="dxa"/>
            <w:gridSpan w:val="2"/>
          </w:tcPr>
          <w:p w14:paraId="7363E62C"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6F977246" w14:textId="77777777" w:rsidTr="00700EF3">
        <w:trPr>
          <w:trHeight w:val="145"/>
        </w:trPr>
        <w:tc>
          <w:tcPr>
            <w:tcW w:w="1521" w:type="dxa"/>
          </w:tcPr>
          <w:p w14:paraId="4CA120F6" w14:textId="77777777" w:rsidR="00ED57FE" w:rsidRPr="004D2F23" w:rsidRDefault="00ED57FE" w:rsidP="00ED57FE">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Turkey (SDIF) </w:t>
            </w:r>
          </w:p>
        </w:tc>
        <w:tc>
          <w:tcPr>
            <w:tcW w:w="1193" w:type="dxa"/>
            <w:gridSpan w:val="2"/>
          </w:tcPr>
          <w:p w14:paraId="5C7A61C5"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5E05ABB0"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8" w:type="dxa"/>
          </w:tcPr>
          <w:p w14:paraId="1A987913"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8" w:type="dxa"/>
            <w:gridSpan w:val="2"/>
          </w:tcPr>
          <w:p w14:paraId="66698439"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790272FE"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22" w:type="dxa"/>
            <w:gridSpan w:val="2"/>
          </w:tcPr>
          <w:p w14:paraId="6E0276E0"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4C158E4D" w14:textId="77777777" w:rsidTr="00700EF3">
        <w:trPr>
          <w:trHeight w:val="158"/>
        </w:trPr>
        <w:tc>
          <w:tcPr>
            <w:tcW w:w="1521" w:type="dxa"/>
          </w:tcPr>
          <w:p w14:paraId="2007CDDC" w14:textId="77777777" w:rsidR="00ED57FE" w:rsidRPr="004D2F23" w:rsidRDefault="00ED57FE" w:rsidP="00ED57FE">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Uruguay (COPAB) </w:t>
            </w:r>
          </w:p>
        </w:tc>
        <w:tc>
          <w:tcPr>
            <w:tcW w:w="1193" w:type="dxa"/>
            <w:gridSpan w:val="2"/>
          </w:tcPr>
          <w:p w14:paraId="66713016"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1F4E9A8E"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8" w:type="dxa"/>
          </w:tcPr>
          <w:p w14:paraId="258BF5E8"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8" w:type="dxa"/>
            <w:gridSpan w:val="2"/>
          </w:tcPr>
          <w:p w14:paraId="0565813A"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58" w:type="dxa"/>
          </w:tcPr>
          <w:p w14:paraId="221B4D89"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22" w:type="dxa"/>
            <w:gridSpan w:val="2"/>
          </w:tcPr>
          <w:p w14:paraId="0C7A54D8" w14:textId="77777777" w:rsidR="00ED57FE" w:rsidRPr="004D2F23" w:rsidRDefault="00ED57FE" w:rsidP="00ED57FE">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2BFAC109" w14:textId="77777777" w:rsidTr="00351B31">
        <w:trPr>
          <w:trHeight w:val="129"/>
        </w:trPr>
        <w:tc>
          <w:tcPr>
            <w:tcW w:w="10168" w:type="dxa"/>
            <w:gridSpan w:val="10"/>
          </w:tcPr>
          <w:p w14:paraId="18827C12" w14:textId="77777777" w:rsidR="00ED57FE" w:rsidRPr="004D2F23" w:rsidRDefault="00A955CF" w:rsidP="00351B31">
            <w:pPr>
              <w:autoSpaceDE w:val="0"/>
              <w:autoSpaceDN w:val="0"/>
              <w:adjustRightInd w:val="0"/>
              <w:spacing w:after="0" w:line="240" w:lineRule="auto"/>
              <w:jc w:val="both"/>
              <w:rPr>
                <w:rFonts w:ascii="Times New Roman" w:hAnsi="Times New Roman" w:cs="Times New Roman"/>
                <w:sz w:val="28"/>
                <w:szCs w:val="28"/>
              </w:rPr>
            </w:pPr>
            <w:r w:rsidRPr="004D2F23">
              <w:rPr>
                <w:rFonts w:ascii="Times New Roman" w:hAnsi="Times New Roman" w:cs="Times New Roman"/>
                <w:sz w:val="28"/>
                <w:szCs w:val="28"/>
              </w:rPr>
              <w:t>**</w:t>
            </w:r>
            <w:r w:rsidR="003E5A33" w:rsidRPr="004D2F23">
              <w:rPr>
                <w:rFonts w:ascii="Times New Roman" w:hAnsi="Times New Roman" w:cs="Times New Roman"/>
                <w:sz w:val="28"/>
                <w:szCs w:val="28"/>
              </w:rPr>
              <w:t xml:space="preserve">Nguồn tài trợ dự phòng từ khi vực công là các nguồn như: nguồn tài trợ dự phòng của chính phủ (bao gồm các khoản vay); các khoản vay từ ngân hàng trung ương; vay từ ngân hàng thương mại, bao gồm phát hành trái phiếu, các khoản vay từ các ngân hàng thương mại hoặc việc thu thêm phí bảo hiểm bất thường từ các thành viên. Đối với năm DIS (BDIC (Barbados), FGC (Brazil), DPFB (Đức), FITD (Ý), FCGB (Ma-rốc)), việc vay NHTM được giới hạn ở việc thu phí bảo hiểm bất thường. </w:t>
            </w:r>
          </w:p>
          <w:p w14:paraId="75A325A2" w14:textId="77777777" w:rsidR="00A955CF" w:rsidRPr="004D2F23" w:rsidRDefault="00A955CF" w:rsidP="00351B31">
            <w:pPr>
              <w:autoSpaceDE w:val="0"/>
              <w:autoSpaceDN w:val="0"/>
              <w:adjustRightInd w:val="0"/>
              <w:spacing w:after="0" w:line="240" w:lineRule="auto"/>
              <w:jc w:val="both"/>
              <w:rPr>
                <w:rFonts w:ascii="Times New Roman" w:hAnsi="Times New Roman" w:cs="Times New Roman"/>
                <w:sz w:val="28"/>
                <w:szCs w:val="28"/>
              </w:rPr>
            </w:pPr>
            <w:r w:rsidRPr="004D2F23">
              <w:rPr>
                <w:rFonts w:ascii="Times New Roman" w:hAnsi="Times New Roman" w:cs="Times New Roman"/>
                <w:sz w:val="28"/>
                <w:szCs w:val="28"/>
              </w:rPr>
              <w:t xml:space="preserve">*** CDIC phải tuân theo mục tiêu giảm thiểu tổn thất theo luật định. Tuy nhiên, không có giới hạn pháp lý nào về số tiền hỗ trợ vốn mà CDIC có thể cung cấp. Mặc dù các nguồn </w:t>
            </w:r>
            <w:r w:rsidRPr="004D2F23">
              <w:rPr>
                <w:rFonts w:ascii="Times New Roman" w:hAnsi="Times New Roman" w:cs="Times New Roman"/>
                <w:sz w:val="28"/>
                <w:szCs w:val="28"/>
              </w:rPr>
              <w:lastRenderedPageBreak/>
              <w:t xml:space="preserve">lực của CDID là hữu hạn và CDID chỉ được vay thêm theo giới hạn luật quy định, quốc hội có thể quyết định tăng các giới hạn này lên. </w:t>
            </w:r>
          </w:p>
          <w:p w14:paraId="720103C6" w14:textId="05DC8315" w:rsidR="00A955CF" w:rsidRPr="004D2F23" w:rsidRDefault="00A955CF" w:rsidP="00351B31">
            <w:pPr>
              <w:autoSpaceDE w:val="0"/>
              <w:autoSpaceDN w:val="0"/>
              <w:adjustRightInd w:val="0"/>
              <w:spacing w:after="0" w:line="240" w:lineRule="auto"/>
              <w:jc w:val="both"/>
              <w:rPr>
                <w:rFonts w:ascii="Segoe UI" w:hAnsi="Segoe UI" w:cs="Segoe UI"/>
                <w:sz w:val="28"/>
                <w:szCs w:val="28"/>
              </w:rPr>
            </w:pPr>
            <w:r w:rsidRPr="004D2F23">
              <w:rPr>
                <w:rFonts w:ascii="Times New Roman" w:hAnsi="Times New Roman" w:cs="Times New Roman"/>
                <w:sz w:val="28"/>
                <w:szCs w:val="28"/>
              </w:rPr>
              <w:t>*** Các tổ chức BHTG sau đây không cung cấp vốn cho các ngân hàng thành viên, dù để ngăn ngừa mất khả năng thanh toán hay trong tình trạng mất khả năng thanh toán, hoặc cả hai: FCS (Úc), BDIC (Barbados), COSEDE (Ecuador), DGF (Phần Lan), FOSEDE (Honduras), JDIC (Jamaica), DICJ (Nhật Bản), FGDSB (Moldova), DICoM (Mông Cổ), BFG (Ba Lan), ASV (Nga), AOD (Serbia), SDIC (Singapore), SLDIS (Sri Lanka), FSCS (Vương quốc Anh) và FDIC (Hoa Kỳ)</w:t>
            </w:r>
          </w:p>
        </w:tc>
      </w:tr>
    </w:tbl>
    <w:p w14:paraId="4DCC44B8" w14:textId="77777777" w:rsidR="00ED57FE" w:rsidRPr="004D2F23" w:rsidRDefault="00ED57FE" w:rsidP="003E5A33">
      <w:pPr>
        <w:jc w:val="both"/>
        <w:rPr>
          <w:rFonts w:ascii="Times New Roman" w:hAnsi="Times New Roman" w:cs="Times New Roman"/>
          <w:b/>
          <w:sz w:val="28"/>
          <w:szCs w:val="28"/>
        </w:rPr>
      </w:pPr>
    </w:p>
    <w:tbl>
      <w:tblPr>
        <w:tblW w:w="101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8"/>
        <w:gridCol w:w="1448"/>
        <w:gridCol w:w="1448"/>
        <w:gridCol w:w="95"/>
        <w:gridCol w:w="1353"/>
        <w:gridCol w:w="1448"/>
        <w:gridCol w:w="36"/>
        <w:gridCol w:w="1412"/>
        <w:gridCol w:w="1455"/>
      </w:tblGrid>
      <w:tr w:rsidR="004D2F23" w:rsidRPr="004D2F23" w14:paraId="19793F7B" w14:textId="77777777" w:rsidTr="00351B31">
        <w:trPr>
          <w:trHeight w:val="186"/>
        </w:trPr>
        <w:tc>
          <w:tcPr>
            <w:tcW w:w="10143" w:type="dxa"/>
            <w:gridSpan w:val="9"/>
          </w:tcPr>
          <w:p w14:paraId="30752781" w14:textId="77777777" w:rsidR="0063440A" w:rsidRPr="004D2F23" w:rsidRDefault="001943B5" w:rsidP="0063440A">
            <w:pPr>
              <w:autoSpaceDE w:val="0"/>
              <w:autoSpaceDN w:val="0"/>
              <w:adjustRightInd w:val="0"/>
              <w:spacing w:after="0" w:line="240" w:lineRule="auto"/>
              <w:jc w:val="center"/>
              <w:rPr>
                <w:rFonts w:ascii="Times New Roman" w:hAnsi="Times New Roman" w:cs="Times New Roman"/>
                <w:b/>
                <w:sz w:val="28"/>
                <w:szCs w:val="28"/>
              </w:rPr>
            </w:pPr>
            <w:r w:rsidRPr="004D2F23">
              <w:rPr>
                <w:rFonts w:ascii="Times New Roman" w:hAnsi="Times New Roman" w:cs="Times New Roman"/>
                <w:b/>
                <w:sz w:val="28"/>
                <w:szCs w:val="28"/>
              </w:rPr>
              <w:t>HỖ TRỢ THANH KHOẢN</w:t>
            </w:r>
          </w:p>
        </w:tc>
      </w:tr>
      <w:tr w:rsidR="004D2F23" w:rsidRPr="004D2F23" w14:paraId="20178381" w14:textId="77777777" w:rsidTr="00351B31">
        <w:trPr>
          <w:trHeight w:val="255"/>
        </w:trPr>
        <w:tc>
          <w:tcPr>
            <w:tcW w:w="4439" w:type="dxa"/>
            <w:gridSpan w:val="4"/>
          </w:tcPr>
          <w:p w14:paraId="5B850D53" w14:textId="77777777" w:rsidR="0063440A" w:rsidRPr="004D2F23" w:rsidRDefault="0063440A" w:rsidP="0063440A">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                                       Hỗ trợ về thanh khoản </w:t>
            </w:r>
          </w:p>
        </w:tc>
        <w:tc>
          <w:tcPr>
            <w:tcW w:w="2837" w:type="dxa"/>
            <w:gridSpan w:val="3"/>
          </w:tcPr>
          <w:p w14:paraId="1A5D1979" w14:textId="77777777" w:rsidR="0063440A" w:rsidRPr="004D2F23" w:rsidRDefault="0063440A" w:rsidP="0063440A">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Safeguards* </w:t>
            </w:r>
          </w:p>
        </w:tc>
        <w:tc>
          <w:tcPr>
            <w:tcW w:w="2867" w:type="dxa"/>
            <w:gridSpan w:val="2"/>
          </w:tcPr>
          <w:p w14:paraId="00A6F527" w14:textId="77777777" w:rsidR="0063440A" w:rsidRPr="004D2F23" w:rsidRDefault="0063440A" w:rsidP="0063440A">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Các nguồn vốn khác</w:t>
            </w:r>
          </w:p>
        </w:tc>
      </w:tr>
      <w:tr w:rsidR="004D2F23" w:rsidRPr="004D2F23" w14:paraId="0848EE63" w14:textId="77777777" w:rsidTr="00351B31">
        <w:trPr>
          <w:trHeight w:val="368"/>
        </w:trPr>
        <w:tc>
          <w:tcPr>
            <w:tcW w:w="1448" w:type="dxa"/>
          </w:tcPr>
          <w:p w14:paraId="411CB764" w14:textId="77777777" w:rsidR="0063440A" w:rsidRPr="004D2F23" w:rsidRDefault="0063440A" w:rsidP="0063440A">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Quốc gia (tổ chức BHTG)</w:t>
            </w:r>
          </w:p>
        </w:tc>
        <w:tc>
          <w:tcPr>
            <w:tcW w:w="1448" w:type="dxa"/>
          </w:tcPr>
          <w:p w14:paraId="05B46045" w14:textId="77777777" w:rsidR="0063440A" w:rsidRPr="004D2F23" w:rsidRDefault="0063440A" w:rsidP="0063440A">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Ngoài phạm vi </w:t>
            </w:r>
          </w:p>
          <w:p w14:paraId="73DDE645" w14:textId="77777777" w:rsidR="0063440A" w:rsidRPr="004D2F23" w:rsidRDefault="0063440A" w:rsidP="0063440A">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                                 tái cơ cấu  </w:t>
            </w:r>
          </w:p>
        </w:tc>
        <w:tc>
          <w:tcPr>
            <w:tcW w:w="1448" w:type="dxa"/>
          </w:tcPr>
          <w:p w14:paraId="22D7CF8B" w14:textId="77777777" w:rsidR="0063440A" w:rsidRPr="004D2F23" w:rsidRDefault="0063440A" w:rsidP="0063440A">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Cho ngân hàng đang trong quá trình tái cơ cấu</w:t>
            </w:r>
          </w:p>
        </w:tc>
        <w:tc>
          <w:tcPr>
            <w:tcW w:w="1448" w:type="dxa"/>
            <w:gridSpan w:val="2"/>
          </w:tcPr>
          <w:p w14:paraId="4C41BF51" w14:textId="77777777" w:rsidR="0063440A" w:rsidRPr="004D2F23" w:rsidRDefault="0063440A" w:rsidP="0063440A">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Giới hạn tài chính (financial cap) </w:t>
            </w:r>
          </w:p>
        </w:tc>
        <w:tc>
          <w:tcPr>
            <w:tcW w:w="1448" w:type="dxa"/>
          </w:tcPr>
          <w:p w14:paraId="11556CA2" w14:textId="77777777" w:rsidR="0063440A" w:rsidRPr="004D2F23" w:rsidRDefault="0063440A" w:rsidP="0063440A">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Khả năng vượt quá giới hạn tài chính </w:t>
            </w:r>
          </w:p>
        </w:tc>
        <w:tc>
          <w:tcPr>
            <w:tcW w:w="1448" w:type="dxa"/>
            <w:gridSpan w:val="2"/>
          </w:tcPr>
          <w:p w14:paraId="15352D0A" w14:textId="77777777" w:rsidR="0063440A" w:rsidRPr="004D2F23" w:rsidRDefault="0063440A" w:rsidP="0063440A">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Nguồn vốn dự phòng từ khu vực công (Public backup funding) </w:t>
            </w:r>
          </w:p>
        </w:tc>
        <w:tc>
          <w:tcPr>
            <w:tcW w:w="1455" w:type="dxa"/>
          </w:tcPr>
          <w:p w14:paraId="340D963A" w14:textId="77777777" w:rsidR="0063440A" w:rsidRPr="004D2F23" w:rsidRDefault="0063440A" w:rsidP="0063440A">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Vay (Private borrowing)</w:t>
            </w:r>
          </w:p>
        </w:tc>
      </w:tr>
      <w:tr w:rsidR="004D2F23" w:rsidRPr="004D2F23" w14:paraId="32104CCE" w14:textId="77777777" w:rsidTr="00351B31">
        <w:trPr>
          <w:trHeight w:val="143"/>
        </w:trPr>
        <w:tc>
          <w:tcPr>
            <w:tcW w:w="1448" w:type="dxa"/>
          </w:tcPr>
          <w:p w14:paraId="70EE1218"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Barbados (BDIC) </w:t>
            </w:r>
          </w:p>
        </w:tc>
        <w:tc>
          <w:tcPr>
            <w:tcW w:w="1448" w:type="dxa"/>
          </w:tcPr>
          <w:p w14:paraId="78392384"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43148872"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05C3633F"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33C31598"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 </w:t>
            </w:r>
          </w:p>
        </w:tc>
        <w:tc>
          <w:tcPr>
            <w:tcW w:w="1448" w:type="dxa"/>
            <w:gridSpan w:val="2"/>
          </w:tcPr>
          <w:p w14:paraId="5E203A6A"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156DD851"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5B6A756E" w14:textId="77777777" w:rsidTr="00351B31">
        <w:trPr>
          <w:trHeight w:val="156"/>
        </w:trPr>
        <w:tc>
          <w:tcPr>
            <w:tcW w:w="1448" w:type="dxa"/>
          </w:tcPr>
          <w:p w14:paraId="365F4936"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Brazil (FGC) </w:t>
            </w:r>
          </w:p>
        </w:tc>
        <w:tc>
          <w:tcPr>
            <w:tcW w:w="1448" w:type="dxa"/>
          </w:tcPr>
          <w:p w14:paraId="00887650"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0E2F7870"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4E2C1BF5"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0D395EFC"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6CFDA4AA"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59A2F3A9"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70BDBADE" w14:textId="77777777" w:rsidTr="00351B31">
        <w:trPr>
          <w:trHeight w:val="143"/>
        </w:trPr>
        <w:tc>
          <w:tcPr>
            <w:tcW w:w="1448" w:type="dxa"/>
          </w:tcPr>
          <w:p w14:paraId="1E27F167"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Canada (CDIC)*** </w:t>
            </w:r>
          </w:p>
        </w:tc>
        <w:tc>
          <w:tcPr>
            <w:tcW w:w="1448" w:type="dxa"/>
          </w:tcPr>
          <w:p w14:paraId="7D64BA3B"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1C496405"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468ECD96"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6F71CF0D"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7C212493"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1E85092D"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27904035" w14:textId="77777777" w:rsidTr="00351B31">
        <w:trPr>
          <w:trHeight w:val="156"/>
        </w:trPr>
        <w:tc>
          <w:tcPr>
            <w:tcW w:w="1448" w:type="dxa"/>
          </w:tcPr>
          <w:p w14:paraId="39B6C757"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Colombia (Fogafín) </w:t>
            </w:r>
          </w:p>
        </w:tc>
        <w:tc>
          <w:tcPr>
            <w:tcW w:w="1448" w:type="dxa"/>
          </w:tcPr>
          <w:p w14:paraId="340A35A3"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06B890AD"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7192E3E2"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2B3D474B"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68E4DB31"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2EB9C390"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05BAEB4C" w14:textId="77777777" w:rsidTr="00351B31">
        <w:trPr>
          <w:trHeight w:val="143"/>
        </w:trPr>
        <w:tc>
          <w:tcPr>
            <w:tcW w:w="1448" w:type="dxa"/>
          </w:tcPr>
          <w:p w14:paraId="63FC0360"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Ecuador (COSEDE) </w:t>
            </w:r>
          </w:p>
        </w:tc>
        <w:tc>
          <w:tcPr>
            <w:tcW w:w="1448" w:type="dxa"/>
          </w:tcPr>
          <w:p w14:paraId="561A56B6"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4B7D5FFB"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23D7EE30"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2DD95E49"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0702EEDD"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16924DAF"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3A02835B" w14:textId="77777777" w:rsidTr="00351B31">
        <w:trPr>
          <w:trHeight w:val="156"/>
        </w:trPr>
        <w:tc>
          <w:tcPr>
            <w:tcW w:w="1448" w:type="dxa"/>
          </w:tcPr>
          <w:p w14:paraId="6EE18957"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Germany (BVR) </w:t>
            </w:r>
          </w:p>
        </w:tc>
        <w:tc>
          <w:tcPr>
            <w:tcW w:w="1448" w:type="dxa"/>
          </w:tcPr>
          <w:p w14:paraId="5D5EBA6D"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1622D020"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50971E03"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50673061"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21B7EA88"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27AD2F76"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3C0CACF6" w14:textId="77777777" w:rsidTr="00351B31">
        <w:trPr>
          <w:trHeight w:val="143"/>
        </w:trPr>
        <w:tc>
          <w:tcPr>
            <w:tcW w:w="1448" w:type="dxa"/>
          </w:tcPr>
          <w:p w14:paraId="0D760A76"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Germany (DPFB) </w:t>
            </w:r>
          </w:p>
        </w:tc>
        <w:tc>
          <w:tcPr>
            <w:tcW w:w="1448" w:type="dxa"/>
          </w:tcPr>
          <w:p w14:paraId="047C0087"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242CDC3D"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6809D58B"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5C5216FA"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 </w:t>
            </w:r>
          </w:p>
        </w:tc>
        <w:tc>
          <w:tcPr>
            <w:tcW w:w="1448" w:type="dxa"/>
            <w:gridSpan w:val="2"/>
          </w:tcPr>
          <w:p w14:paraId="54485AB9"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76CD463E"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3B98F324" w14:textId="77777777" w:rsidTr="00351B31">
        <w:trPr>
          <w:trHeight w:val="156"/>
        </w:trPr>
        <w:tc>
          <w:tcPr>
            <w:tcW w:w="1448" w:type="dxa"/>
          </w:tcPr>
          <w:p w14:paraId="4D543D8C"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Indonesia (IDIC) </w:t>
            </w:r>
          </w:p>
        </w:tc>
        <w:tc>
          <w:tcPr>
            <w:tcW w:w="1448" w:type="dxa"/>
          </w:tcPr>
          <w:p w14:paraId="33C9F814"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663EF766"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18A5DF9F"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2E8088E4"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14105A2A"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525FADBC"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0CC9B75A" w14:textId="77777777" w:rsidTr="00351B31">
        <w:trPr>
          <w:trHeight w:val="143"/>
        </w:trPr>
        <w:tc>
          <w:tcPr>
            <w:tcW w:w="1448" w:type="dxa"/>
          </w:tcPr>
          <w:p w14:paraId="75B490DB"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Italy (FITD) </w:t>
            </w:r>
          </w:p>
        </w:tc>
        <w:tc>
          <w:tcPr>
            <w:tcW w:w="1448" w:type="dxa"/>
          </w:tcPr>
          <w:p w14:paraId="2B26072A"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6CED956C"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718A2ECB"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5D32046D"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62E0ABFA"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6032829D"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3547467A" w14:textId="77777777" w:rsidTr="00351B31">
        <w:trPr>
          <w:trHeight w:val="156"/>
        </w:trPr>
        <w:tc>
          <w:tcPr>
            <w:tcW w:w="1448" w:type="dxa"/>
          </w:tcPr>
          <w:p w14:paraId="318BA3E7"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lastRenderedPageBreak/>
              <w:t xml:space="preserve">Jamaica (JDIC) </w:t>
            </w:r>
          </w:p>
        </w:tc>
        <w:tc>
          <w:tcPr>
            <w:tcW w:w="1448" w:type="dxa"/>
          </w:tcPr>
          <w:p w14:paraId="551BB533"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23034F07"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50FB8FCA"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5DC826D3"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628662D0"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5889B08F"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0C8D8B1E" w14:textId="77777777" w:rsidTr="00351B31">
        <w:trPr>
          <w:trHeight w:val="143"/>
        </w:trPr>
        <w:tc>
          <w:tcPr>
            <w:tcW w:w="1448" w:type="dxa"/>
          </w:tcPr>
          <w:p w14:paraId="0A6778B6"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Japan (DICJ) </w:t>
            </w:r>
          </w:p>
        </w:tc>
        <w:tc>
          <w:tcPr>
            <w:tcW w:w="1448" w:type="dxa"/>
          </w:tcPr>
          <w:p w14:paraId="3E8E8F0C"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7E128A49"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285004F0"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20DA2CC1"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6CF3991D"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5845E5CB"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26A4DD5E" w14:textId="77777777" w:rsidTr="00351B31">
        <w:trPr>
          <w:trHeight w:val="155"/>
        </w:trPr>
        <w:tc>
          <w:tcPr>
            <w:tcW w:w="1448" w:type="dxa"/>
          </w:tcPr>
          <w:p w14:paraId="2D1EC6BB"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Korea (KDIC) </w:t>
            </w:r>
          </w:p>
        </w:tc>
        <w:tc>
          <w:tcPr>
            <w:tcW w:w="1448" w:type="dxa"/>
          </w:tcPr>
          <w:p w14:paraId="10BABCB1"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66E59416"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106EFC44"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0CD0823D"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36212737"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30EA46A4"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0B7D6177" w14:textId="77777777" w:rsidTr="00351B31">
        <w:trPr>
          <w:trHeight w:val="143"/>
        </w:trPr>
        <w:tc>
          <w:tcPr>
            <w:tcW w:w="1448" w:type="dxa"/>
          </w:tcPr>
          <w:p w14:paraId="1DCD262F"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Mexico (IPAB) </w:t>
            </w:r>
          </w:p>
        </w:tc>
        <w:tc>
          <w:tcPr>
            <w:tcW w:w="1448" w:type="dxa"/>
          </w:tcPr>
          <w:p w14:paraId="623E940B"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15C241F7"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58695DA5"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5D3A76A1"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26E5E9B6"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5D43C22F"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01A96AB8" w14:textId="77777777" w:rsidTr="00351B31">
        <w:trPr>
          <w:trHeight w:val="155"/>
        </w:trPr>
        <w:tc>
          <w:tcPr>
            <w:tcW w:w="1448" w:type="dxa"/>
          </w:tcPr>
          <w:p w14:paraId="6410C448"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Mongolia (DICoM) </w:t>
            </w:r>
          </w:p>
        </w:tc>
        <w:tc>
          <w:tcPr>
            <w:tcW w:w="1448" w:type="dxa"/>
          </w:tcPr>
          <w:p w14:paraId="7246E4E1"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24C78D11"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167B8C49"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1CC18E75"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4882F259"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629823FC"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4D68DB20" w14:textId="77777777" w:rsidTr="00351B31">
        <w:trPr>
          <w:trHeight w:val="143"/>
        </w:trPr>
        <w:tc>
          <w:tcPr>
            <w:tcW w:w="1448" w:type="dxa"/>
          </w:tcPr>
          <w:p w14:paraId="5B6FC519"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Morocco (FCGB) </w:t>
            </w:r>
          </w:p>
        </w:tc>
        <w:tc>
          <w:tcPr>
            <w:tcW w:w="1448" w:type="dxa"/>
          </w:tcPr>
          <w:p w14:paraId="69E92905"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30D7A16C"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5B5888B2"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6E80F40C"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641F52F7"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20BEA912"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76BC19BE" w14:textId="77777777" w:rsidTr="00351B31">
        <w:trPr>
          <w:trHeight w:val="155"/>
        </w:trPr>
        <w:tc>
          <w:tcPr>
            <w:tcW w:w="1448" w:type="dxa"/>
          </w:tcPr>
          <w:p w14:paraId="4AAB2E52"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Nigeria (NDIC) </w:t>
            </w:r>
          </w:p>
        </w:tc>
        <w:tc>
          <w:tcPr>
            <w:tcW w:w="1448" w:type="dxa"/>
          </w:tcPr>
          <w:p w14:paraId="241CD582"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0137AE47"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5025894C"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4B110898"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6783884E"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3C11176A"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439D4137" w14:textId="77777777" w:rsidTr="00351B31">
        <w:trPr>
          <w:trHeight w:val="143"/>
        </w:trPr>
        <w:tc>
          <w:tcPr>
            <w:tcW w:w="1448" w:type="dxa"/>
          </w:tcPr>
          <w:p w14:paraId="29347EDE"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Norway (NBGF) </w:t>
            </w:r>
          </w:p>
        </w:tc>
        <w:tc>
          <w:tcPr>
            <w:tcW w:w="1448" w:type="dxa"/>
          </w:tcPr>
          <w:p w14:paraId="5DF3D341"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6DFC3ED3"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0103192C"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6EE94B7A"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070184C1"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604EA1AD"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4C277D11" w14:textId="77777777" w:rsidTr="00351B31">
        <w:trPr>
          <w:trHeight w:val="155"/>
        </w:trPr>
        <w:tc>
          <w:tcPr>
            <w:tcW w:w="1448" w:type="dxa"/>
          </w:tcPr>
          <w:p w14:paraId="02DBACE2"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Spain (FGD) </w:t>
            </w:r>
          </w:p>
        </w:tc>
        <w:tc>
          <w:tcPr>
            <w:tcW w:w="1448" w:type="dxa"/>
          </w:tcPr>
          <w:p w14:paraId="4083FBAB"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225AB75A"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0D38B537"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538CB753"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5861DBC5"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3D38EEA1"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0083E2E3" w14:textId="77777777" w:rsidTr="00351B31">
        <w:trPr>
          <w:trHeight w:val="156"/>
        </w:trPr>
        <w:tc>
          <w:tcPr>
            <w:tcW w:w="1448" w:type="dxa"/>
          </w:tcPr>
          <w:p w14:paraId="21F5C234"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Sri Lanka (SLDIS) </w:t>
            </w:r>
          </w:p>
        </w:tc>
        <w:tc>
          <w:tcPr>
            <w:tcW w:w="1448" w:type="dxa"/>
          </w:tcPr>
          <w:p w14:paraId="6C28143D"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589D4FB6"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2607D402"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155D10DE"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2E5CDAB5"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3B3F253A"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6483F62B" w14:textId="77777777" w:rsidTr="00351B31">
        <w:trPr>
          <w:trHeight w:val="155"/>
        </w:trPr>
        <w:tc>
          <w:tcPr>
            <w:tcW w:w="1448" w:type="dxa"/>
          </w:tcPr>
          <w:p w14:paraId="5EA3D682" w14:textId="77777777" w:rsidR="0063440A" w:rsidRPr="004D2F23" w:rsidRDefault="0063440A" w:rsidP="0063440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Turkey (SDIF) </w:t>
            </w:r>
          </w:p>
        </w:tc>
        <w:tc>
          <w:tcPr>
            <w:tcW w:w="1448" w:type="dxa"/>
          </w:tcPr>
          <w:p w14:paraId="4E693456"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350996E4"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4BEE85E3"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tcPr>
          <w:p w14:paraId="1893463C"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48" w:type="dxa"/>
            <w:gridSpan w:val="2"/>
          </w:tcPr>
          <w:p w14:paraId="64FA2D6F"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55" w:type="dxa"/>
          </w:tcPr>
          <w:p w14:paraId="6CADD9A8" w14:textId="77777777" w:rsidR="0063440A" w:rsidRPr="004D2F23" w:rsidRDefault="0063440A" w:rsidP="0063440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bl>
    <w:p w14:paraId="02F5B621" w14:textId="77777777" w:rsidR="0063440A" w:rsidRPr="004D2F23" w:rsidRDefault="0063440A" w:rsidP="003E5A33">
      <w:pPr>
        <w:jc w:val="both"/>
        <w:rPr>
          <w:rFonts w:ascii="Times New Roman" w:hAnsi="Times New Roman" w:cs="Times New Roman"/>
          <w:b/>
          <w:sz w:val="28"/>
          <w:szCs w:val="28"/>
        </w:rPr>
      </w:pPr>
    </w:p>
    <w:p w14:paraId="2758D347" w14:textId="0B12D740" w:rsidR="00DA22AA" w:rsidRPr="004D2F23" w:rsidRDefault="00DA22AA" w:rsidP="003E5A33">
      <w:pPr>
        <w:jc w:val="both"/>
        <w:rPr>
          <w:rFonts w:ascii="Times New Roman" w:hAnsi="Times New Roman" w:cs="Times New Roman"/>
          <w:sz w:val="28"/>
          <w:szCs w:val="28"/>
        </w:rPr>
      </w:pPr>
      <w:r w:rsidRPr="004D2F23">
        <w:rPr>
          <w:rFonts w:ascii="Times New Roman" w:hAnsi="Times New Roman" w:cs="Times New Roman"/>
          <w:b/>
          <w:sz w:val="28"/>
          <w:szCs w:val="28"/>
        </w:rPr>
        <w:tab/>
      </w:r>
      <w:r w:rsidRPr="004D2F23">
        <w:rPr>
          <w:rFonts w:ascii="Times New Roman" w:hAnsi="Times New Roman" w:cs="Times New Roman"/>
          <w:sz w:val="28"/>
          <w:szCs w:val="28"/>
        </w:rPr>
        <w:t xml:space="preserve">Một số BHTG có thể cung cấp hỗ trợ vốn trước khi TCTD mất khả năng chi trả như một biện pháp phòng ngừa. Trong một số trường hợp, đây là một phần của công cụ thực hiện tái cơ cấu. Ví dụ, CDIC (Canada) có một nhiệm vụ </w:t>
      </w:r>
      <w:proofErr w:type="gramStart"/>
      <w:r w:rsidRPr="004D2F23">
        <w:rPr>
          <w:rFonts w:ascii="Times New Roman" w:hAnsi="Times New Roman" w:cs="Times New Roman"/>
          <w:sz w:val="28"/>
          <w:szCs w:val="28"/>
        </w:rPr>
        <w:t>theo</w:t>
      </w:r>
      <w:proofErr w:type="gramEnd"/>
      <w:r w:rsidRPr="004D2F23">
        <w:rPr>
          <w:rFonts w:ascii="Times New Roman" w:hAnsi="Times New Roman" w:cs="Times New Roman"/>
          <w:sz w:val="28"/>
          <w:szCs w:val="28"/>
        </w:rPr>
        <w:t xml:space="preserve"> luật định rõ ràng, ngoài việc bảo vệ người gửi tiền, là "thúc đẩy và đóng góp vào sự ổn định của hệ thố</w:t>
      </w:r>
      <w:r w:rsidR="00AC093B" w:rsidRPr="004D2F23">
        <w:rPr>
          <w:rFonts w:ascii="Times New Roman" w:hAnsi="Times New Roman" w:cs="Times New Roman"/>
          <w:sz w:val="28"/>
          <w:szCs w:val="28"/>
        </w:rPr>
        <w:t>ng tài chính"</w:t>
      </w:r>
      <w:r w:rsidRPr="004D2F23">
        <w:rPr>
          <w:rFonts w:ascii="Times New Roman" w:hAnsi="Times New Roman" w:cs="Times New Roman"/>
          <w:sz w:val="28"/>
          <w:szCs w:val="28"/>
        </w:rPr>
        <w:t xml:space="preserve"> và có thể theo đuổi nhiệm vụ đó thông qua hành động phòng ngừa phù hợp với mục tiêu giảm thiểu tổn thất. Theo đó, khi một ngân hàng đang gặp khó khăn về tài chính khiến khả năng tồn tại trong tương lai của ngân hàng bị nghi ngờ nghiêm trọng, nhưng vẫn chưa đạt được các điều kiện để tái cơ cấu hoặc phá sản, CDIC có thể hỗ trợ hành động tái c</w:t>
      </w:r>
      <w:r w:rsidR="00AC093B" w:rsidRPr="004D2F23">
        <w:rPr>
          <w:rFonts w:ascii="Times New Roman" w:hAnsi="Times New Roman" w:cs="Times New Roman"/>
          <w:sz w:val="28"/>
          <w:szCs w:val="28"/>
        </w:rPr>
        <w:t>ơ cấu</w:t>
      </w:r>
      <w:r w:rsidRPr="004D2F23">
        <w:rPr>
          <w:rFonts w:ascii="Times New Roman" w:hAnsi="Times New Roman" w:cs="Times New Roman"/>
          <w:sz w:val="28"/>
          <w:szCs w:val="28"/>
        </w:rPr>
        <w:t xml:space="preserve"> thông qua các biện pháp như mua tài sản. </w:t>
      </w:r>
    </w:p>
    <w:p w14:paraId="15AE029F" w14:textId="77777777" w:rsidR="0063440A" w:rsidRPr="004D2F23" w:rsidRDefault="0063440A" w:rsidP="0063440A">
      <w:pPr>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Một số BHTG có thể cung cấp hỗ trợ thanh khoản trước khi phá sản, như một biện pháp phòng ngừa. Ví dụ, tổ chức BHTG của Brazil (FGC) có thể tham gia vào các hoạt động hỗ trợ tài chính và thanh khoản của các tổ chức thành viên vẫn còn khả năng thanh toán </w:t>
      </w:r>
      <w:proofErr w:type="gramStart"/>
      <w:r w:rsidRPr="004D2F23">
        <w:rPr>
          <w:rFonts w:ascii="Times New Roman" w:hAnsi="Times New Roman" w:cs="Times New Roman"/>
          <w:sz w:val="28"/>
          <w:szCs w:val="28"/>
        </w:rPr>
        <w:t>theo</w:t>
      </w:r>
      <w:proofErr w:type="gramEnd"/>
      <w:r w:rsidRPr="004D2F23">
        <w:rPr>
          <w:rFonts w:ascii="Times New Roman" w:hAnsi="Times New Roman" w:cs="Times New Roman"/>
          <w:sz w:val="28"/>
          <w:szCs w:val="28"/>
        </w:rPr>
        <w:t xml:space="preserve"> Chương trình hỗ trợ thanh khoản của BHTG. Một ngân hàng thành viên không mất khả năng chi trả có thể nộp đơn xin hỗ trợ thanh khoản cho FGC </w:t>
      </w:r>
      <w:r w:rsidRPr="004D2F23">
        <w:rPr>
          <w:rFonts w:ascii="Times New Roman" w:hAnsi="Times New Roman" w:cs="Times New Roman"/>
          <w:sz w:val="28"/>
          <w:szCs w:val="28"/>
        </w:rPr>
        <w:lastRenderedPageBreak/>
        <w:t>nếu có nguy cơ không trả được nợ, phát sinh từ việc thiếu thanh khoản. Khi đánh giá đề nghị của ngân hàng thành viên, FGC xem xét liệu ngân hàng xin hỗ trợ có khả năng phục hồi sau khi hỗ trợ thanh khoản hay không và sẽ xin tư vấn của NHTW để xem việc mất khả năng chi trả của ngân hàng đó có ảnh hưởng hệ thống hay không.</w:t>
      </w:r>
    </w:p>
    <w:p w14:paraId="4FA73E3D" w14:textId="091D03C9" w:rsidR="00DA22AA" w:rsidRPr="004D2F23" w:rsidRDefault="00DA22AA" w:rsidP="003E5A33">
      <w:pPr>
        <w:jc w:val="both"/>
        <w:rPr>
          <w:rFonts w:ascii="Times New Roman" w:hAnsi="Times New Roman" w:cs="Times New Roman"/>
          <w:sz w:val="28"/>
          <w:szCs w:val="28"/>
        </w:rPr>
      </w:pPr>
      <w:r w:rsidRPr="004D2F23">
        <w:rPr>
          <w:rFonts w:ascii="Times New Roman" w:hAnsi="Times New Roman" w:cs="Times New Roman"/>
          <w:sz w:val="28"/>
          <w:szCs w:val="28"/>
        </w:rPr>
        <w:tab/>
      </w:r>
      <w:r w:rsidR="008F2F2C" w:rsidRPr="004D2F23">
        <w:rPr>
          <w:rFonts w:ascii="Times New Roman" w:hAnsi="Times New Roman" w:cs="Times New Roman"/>
          <w:sz w:val="28"/>
          <w:szCs w:val="28"/>
        </w:rPr>
        <w:t xml:space="preserve">Để thực hiện hỗ trợ thanh khoản, tùy từng tổ chức BHTG có thể yêu cầu biện pháp bảo đảm. Việc yêu cầu biện pháp bảo đảm hay không phụ thuộc vào quy định thanh khoản giữa BHTG và ngân hàng trung ương. Ví dụ, IPAB (Mexico) có thể hỗ trợ thanh khoản cho các ngân </w:t>
      </w:r>
      <w:r w:rsidR="007031AC" w:rsidRPr="004D2F23">
        <w:rPr>
          <w:rFonts w:ascii="Times New Roman" w:hAnsi="Times New Roman" w:cs="Times New Roman"/>
          <w:sz w:val="28"/>
          <w:szCs w:val="28"/>
        </w:rPr>
        <w:t>hàng</w:t>
      </w:r>
      <w:r w:rsidR="008F2F2C" w:rsidRPr="004D2F23">
        <w:rPr>
          <w:rFonts w:ascii="Times New Roman" w:hAnsi="Times New Roman" w:cs="Times New Roman"/>
          <w:sz w:val="28"/>
          <w:szCs w:val="28"/>
        </w:rPr>
        <w:t xml:space="preserve"> hệ</w:t>
      </w:r>
      <w:r w:rsidR="007031AC" w:rsidRPr="004D2F23">
        <w:rPr>
          <w:rFonts w:ascii="Times New Roman" w:hAnsi="Times New Roman" w:cs="Times New Roman"/>
          <w:sz w:val="28"/>
          <w:szCs w:val="28"/>
        </w:rPr>
        <w:t xml:space="preserve"> thống</w:t>
      </w:r>
      <w:r w:rsidR="008F2F2C" w:rsidRPr="004D2F23">
        <w:rPr>
          <w:rFonts w:ascii="Times New Roman" w:hAnsi="Times New Roman" w:cs="Times New Roman"/>
          <w:sz w:val="28"/>
          <w:szCs w:val="28"/>
        </w:rPr>
        <w:t xml:space="preserve"> đang trong quá trình </w:t>
      </w:r>
      <w:r w:rsidR="007031AC" w:rsidRPr="004D2F23">
        <w:rPr>
          <w:rFonts w:ascii="Times New Roman" w:hAnsi="Times New Roman" w:cs="Times New Roman"/>
          <w:sz w:val="28"/>
          <w:szCs w:val="28"/>
        </w:rPr>
        <w:t>được giám sát</w:t>
      </w:r>
      <w:r w:rsidR="008F2F2C" w:rsidRPr="004D2F23">
        <w:rPr>
          <w:rFonts w:ascii="Times New Roman" w:hAnsi="Times New Roman" w:cs="Times New Roman"/>
          <w:sz w:val="28"/>
          <w:szCs w:val="28"/>
        </w:rPr>
        <w:t xml:space="preserve"> đã nhận được hỗ trợ thanh khoản khẩn cấp (ELA) từ ngân hàng trung ương nhưng </w:t>
      </w:r>
      <w:r w:rsidR="007031AC" w:rsidRPr="004D2F23">
        <w:rPr>
          <w:rFonts w:ascii="Times New Roman" w:hAnsi="Times New Roman" w:cs="Times New Roman"/>
          <w:sz w:val="28"/>
          <w:szCs w:val="28"/>
        </w:rPr>
        <w:t>vi phạm các điều kiện tuân thủ</w:t>
      </w:r>
      <w:r w:rsidR="008F2F2C" w:rsidRPr="004D2F23">
        <w:rPr>
          <w:rFonts w:ascii="Times New Roman" w:hAnsi="Times New Roman" w:cs="Times New Roman"/>
          <w:sz w:val="28"/>
          <w:szCs w:val="28"/>
        </w:rPr>
        <w:t xml:space="preserve">. Trong tình huống đó, IPAB có thể cho vay </w:t>
      </w:r>
      <w:r w:rsidR="007031AC" w:rsidRPr="004D2F23">
        <w:rPr>
          <w:rFonts w:ascii="Times New Roman" w:hAnsi="Times New Roman" w:cs="Times New Roman"/>
          <w:sz w:val="28"/>
          <w:szCs w:val="28"/>
        </w:rPr>
        <w:t>ở mức đủ</w:t>
      </w:r>
      <w:r w:rsidR="008F2F2C" w:rsidRPr="004D2F23">
        <w:rPr>
          <w:rFonts w:ascii="Times New Roman" w:hAnsi="Times New Roman" w:cs="Times New Roman"/>
          <w:sz w:val="28"/>
          <w:szCs w:val="28"/>
        </w:rPr>
        <w:t xml:space="preserve"> để </w:t>
      </w:r>
      <w:r w:rsidR="007031AC" w:rsidRPr="004D2F23">
        <w:rPr>
          <w:rFonts w:ascii="Times New Roman" w:hAnsi="Times New Roman" w:cs="Times New Roman"/>
          <w:sz w:val="28"/>
          <w:szCs w:val="28"/>
        </w:rPr>
        <w:t>thanh toán</w:t>
      </w:r>
      <w:r w:rsidR="008F2F2C" w:rsidRPr="004D2F23">
        <w:rPr>
          <w:rFonts w:ascii="Times New Roman" w:hAnsi="Times New Roman" w:cs="Times New Roman"/>
          <w:sz w:val="28"/>
          <w:szCs w:val="28"/>
        </w:rPr>
        <w:t xml:space="preserve"> khoản vay của ngân hàng trung ương và sau khi ngân hàng trung ương được hoàn trả</w:t>
      </w:r>
      <w:r w:rsidR="007031AC" w:rsidRPr="004D2F23">
        <w:rPr>
          <w:rFonts w:ascii="Times New Roman" w:hAnsi="Times New Roman" w:cs="Times New Roman"/>
          <w:sz w:val="28"/>
          <w:szCs w:val="28"/>
        </w:rPr>
        <w:t xml:space="preserve"> khoản vay</w:t>
      </w:r>
      <w:r w:rsidR="008F2F2C" w:rsidRPr="004D2F23">
        <w:rPr>
          <w:rFonts w:ascii="Times New Roman" w:hAnsi="Times New Roman" w:cs="Times New Roman"/>
          <w:sz w:val="28"/>
          <w:szCs w:val="28"/>
        </w:rPr>
        <w:t xml:space="preserve">, </w:t>
      </w:r>
      <w:r w:rsidR="007031AC" w:rsidRPr="004D2F23">
        <w:rPr>
          <w:rFonts w:ascii="Times New Roman" w:hAnsi="Times New Roman" w:cs="Times New Roman"/>
          <w:sz w:val="28"/>
          <w:szCs w:val="28"/>
        </w:rPr>
        <w:t>BHTG</w:t>
      </w:r>
      <w:r w:rsidR="008F2F2C" w:rsidRPr="004D2F23">
        <w:rPr>
          <w:rFonts w:ascii="Times New Roman" w:hAnsi="Times New Roman" w:cs="Times New Roman"/>
          <w:sz w:val="28"/>
          <w:szCs w:val="28"/>
        </w:rPr>
        <w:t xml:space="preserve"> sẽ nhận được khoản bảo đảm ban đầu đã thế chấp cho ngân hàng trung ương. Một số </w:t>
      </w:r>
      <w:r w:rsidR="007031AC" w:rsidRPr="004D2F23">
        <w:rPr>
          <w:rFonts w:ascii="Times New Roman" w:hAnsi="Times New Roman" w:cs="Times New Roman"/>
          <w:sz w:val="28"/>
          <w:szCs w:val="28"/>
        </w:rPr>
        <w:t>BHTG</w:t>
      </w:r>
      <w:r w:rsidR="008F2F2C" w:rsidRPr="004D2F23">
        <w:rPr>
          <w:rFonts w:ascii="Times New Roman" w:hAnsi="Times New Roman" w:cs="Times New Roman"/>
          <w:sz w:val="28"/>
          <w:szCs w:val="28"/>
        </w:rPr>
        <w:t xml:space="preserve"> chấp nhận tài sản </w:t>
      </w:r>
      <w:r w:rsidR="002A4C5F" w:rsidRPr="004D2F23">
        <w:rPr>
          <w:rFonts w:ascii="Times New Roman" w:hAnsi="Times New Roman" w:cs="Times New Roman"/>
          <w:sz w:val="28"/>
          <w:szCs w:val="28"/>
        </w:rPr>
        <w:t>bảo đảm</w:t>
      </w:r>
      <w:r w:rsidR="008F2F2C" w:rsidRPr="004D2F23">
        <w:rPr>
          <w:rFonts w:ascii="Times New Roman" w:hAnsi="Times New Roman" w:cs="Times New Roman"/>
          <w:sz w:val="28"/>
          <w:szCs w:val="28"/>
        </w:rPr>
        <w:t xml:space="preserve"> chất lượng thấp hơn mứ</w:t>
      </w:r>
      <w:r w:rsidR="007031AC" w:rsidRPr="004D2F23">
        <w:rPr>
          <w:rFonts w:ascii="Times New Roman" w:hAnsi="Times New Roman" w:cs="Times New Roman"/>
          <w:sz w:val="28"/>
          <w:szCs w:val="28"/>
        </w:rPr>
        <w:t xml:space="preserve">c yêu cầu </w:t>
      </w:r>
      <w:r w:rsidR="002A4C5F" w:rsidRPr="004D2F23">
        <w:rPr>
          <w:rFonts w:ascii="Times New Roman" w:hAnsi="Times New Roman" w:cs="Times New Roman"/>
          <w:sz w:val="28"/>
          <w:szCs w:val="28"/>
        </w:rPr>
        <w:t>bảo đảm</w:t>
      </w:r>
      <w:r w:rsidR="0063440A" w:rsidRPr="004D2F23">
        <w:rPr>
          <w:rFonts w:ascii="Times New Roman" w:hAnsi="Times New Roman" w:cs="Times New Roman"/>
          <w:sz w:val="28"/>
          <w:szCs w:val="28"/>
        </w:rPr>
        <w:t xml:space="preserve"> cho </w:t>
      </w:r>
      <w:r w:rsidR="008F2F2C" w:rsidRPr="004D2F23">
        <w:rPr>
          <w:rFonts w:ascii="Times New Roman" w:hAnsi="Times New Roman" w:cs="Times New Roman"/>
          <w:sz w:val="28"/>
          <w:szCs w:val="28"/>
        </w:rPr>
        <w:t>ngân hàng trung ương</w:t>
      </w:r>
      <w:r w:rsidR="0063440A" w:rsidRPr="004D2F23">
        <w:rPr>
          <w:rFonts w:ascii="Times New Roman" w:hAnsi="Times New Roman" w:cs="Times New Roman"/>
          <w:sz w:val="28"/>
          <w:szCs w:val="28"/>
        </w:rPr>
        <w:t xml:space="preserve"> </w:t>
      </w:r>
      <w:r w:rsidR="002A4C5F" w:rsidRPr="004D2F23">
        <w:rPr>
          <w:rFonts w:ascii="Times New Roman" w:hAnsi="Times New Roman" w:cs="Times New Roman"/>
          <w:sz w:val="28"/>
          <w:szCs w:val="28"/>
        </w:rPr>
        <w:t>để</w:t>
      </w:r>
      <w:r w:rsidR="0063440A" w:rsidRPr="004D2F23">
        <w:rPr>
          <w:rFonts w:ascii="Times New Roman" w:hAnsi="Times New Roman" w:cs="Times New Roman"/>
          <w:sz w:val="28"/>
          <w:szCs w:val="28"/>
        </w:rPr>
        <w:t xml:space="preserve"> hỗ trợ thanh khoản</w:t>
      </w:r>
      <w:r w:rsidR="008F2F2C" w:rsidRPr="004D2F23">
        <w:rPr>
          <w:rFonts w:ascii="Times New Roman" w:hAnsi="Times New Roman" w:cs="Times New Roman"/>
          <w:sz w:val="28"/>
          <w:szCs w:val="28"/>
        </w:rPr>
        <w:t xml:space="preserve">. </w:t>
      </w:r>
    </w:p>
    <w:p w14:paraId="5E0B9801" w14:textId="3926F2F0" w:rsidR="008D0D42" w:rsidRPr="004D2F23" w:rsidRDefault="008D0D42" w:rsidP="008D0D42">
      <w:pPr>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Tại Philippines, PDIC có thể mở rộng hỗ trợ tài chính dưới bất kỳ hình thức nào hoặc kết hợp các khoản vay trực tiếp, mua tài sản, tiếp nhận các khoản nợ phải trả, gửi tiền và vốn chủ sở hữu. Tại Hàn Quốc, nếu KDIC cho rằng một tổ chức có thể đang có vấn đề, KDIC có thể hỗ trợ dưới hình thức mua cổ phiếu, mua và tiếp nhận tài sản và cho vay để giảm thiểu tổn thất kinh tế và xã hội từ TCTD có vấn đề đó. Tại Đài Loan, hỗ trợ tương tự được cung cấp thông qua tiền gửi và các khoản vay. Tuy nhiên, hỗ trợ tài chính chỉ có thể được cung cấp khi đáp ứng được các điều kiện tiên quyết nghiêm ngặt như có khả năng gây ra khủng hoảng hệ thống, ngân hàng có vấn đề được tổ chức BHTG Đài Loan tiếp quản và phải có bảo đảm thực hiện nghĩa vụ đối với toàn bộ nghĩa vụ tài chính. Với Malaysia, khi có thông báo bằng văn bản của ngân hàng trung ương (cũng là cơ quan giám sát) rằng một ngân hàng ngừng hoạt động hoặc có khả năng ngừng hoạt động, MDIC có thể cung cấp hỗ trợ tài chính cho ngân hàng để giảm thiểu chi phí cho hệ thống tài chính. Sự hỗ trợ như vậy dự kiến ​​sẽ đi kèm với các biện pháp kiểm soát cần thiết, chẳng hạn như bổ nhiệm ban quản lý cấp cao mới và thành viên hội đồng quản trị mới, và yêu cầu ngân hàng phải đệ trình một kế hoạch hành động để tăng cường hoạt động và quản lý rủi ro của ngân hàng. Tại Indonesia, liên quan đến việc giải quyết các ngân hàng phá sản, Luật Tổng công ty Bảo hiểm tiền gửi Indonesia (IDIC) quy định hai loại ngân hàng phá sản: không có hệ thống và có hệ thống. Nếu Ngân hàng </w:t>
      </w:r>
      <w:r w:rsidR="002A4C5F" w:rsidRPr="004D2F23">
        <w:rPr>
          <w:rFonts w:ascii="Times New Roman" w:hAnsi="Times New Roman" w:cs="Times New Roman"/>
          <w:sz w:val="28"/>
          <w:szCs w:val="28"/>
        </w:rPr>
        <w:t xml:space="preserve">trung ương </w:t>
      </w:r>
      <w:r w:rsidRPr="004D2F23">
        <w:rPr>
          <w:rFonts w:ascii="Times New Roman" w:hAnsi="Times New Roman" w:cs="Times New Roman"/>
          <w:sz w:val="28"/>
          <w:szCs w:val="28"/>
        </w:rPr>
        <w:t xml:space="preserve">Indonesia, với tư cách là cơ quan giám sát, cho rằng một ngân hàng phá sản không có tác động có hệ thống đến các ngân hàng khác hoặc hệ thống ngân hàng, Ngân hàng Indonesia sẽ gửi thông báo bằng văn bản cho IDIC để IDIC có thể quyết định có cứu trợ hay trả tiền bảo hiểm cho khách hàng của ngân hàng phá sản dựa trên bài kiểm tra chi phí thấp nhất. Nếu Ngân hàng Indonesia chỉ ra rằng ngân hàng có tác động có hệ thống, họ sẽ mời Ủy ban điều phối họp để xác nhận rằng đó là một ngân hàng phá sản có hệ thống và quyết định phương pháp giải </w:t>
      </w:r>
      <w:r w:rsidRPr="004D2F23">
        <w:rPr>
          <w:rFonts w:ascii="Times New Roman" w:hAnsi="Times New Roman" w:cs="Times New Roman"/>
          <w:sz w:val="28"/>
          <w:szCs w:val="28"/>
        </w:rPr>
        <w:lastRenderedPageBreak/>
        <w:t>quyết. Nếu Ủy ban điều phối quyết định rằng ngân hàng có tác động mang tính hệ thống, ngân hàng sẽ được hỗ trợ bằng cách IDIC cung cấp hỗ trợ tài chính bằng cách bơm vốn mới vào ngân hàng cho đến khi ngân hàng đáp ứng các tiêu chuẩn lành mạnh về tài chính do Ngân hàng Indonesia đặt ra, cùng với các biện pháp khác như bổ nhiệm ban quản lý mới.</w:t>
      </w:r>
    </w:p>
    <w:p w14:paraId="7DD34323" w14:textId="77777777" w:rsidR="00382F31" w:rsidRPr="004D2F23" w:rsidRDefault="00ED57FE" w:rsidP="00950EB9">
      <w:pPr>
        <w:ind w:firstLine="720"/>
        <w:jc w:val="both"/>
        <w:rPr>
          <w:rFonts w:ascii="Times New Roman" w:hAnsi="Times New Roman" w:cs="Times New Roman"/>
          <w:b/>
          <w:sz w:val="28"/>
          <w:szCs w:val="28"/>
        </w:rPr>
      </w:pPr>
      <w:r w:rsidRPr="004D2F23">
        <w:rPr>
          <w:rFonts w:ascii="Times New Roman" w:hAnsi="Times New Roman" w:cs="Times New Roman"/>
          <w:b/>
          <w:sz w:val="28"/>
          <w:szCs w:val="28"/>
        </w:rPr>
        <w:t xml:space="preserve">2. </w:t>
      </w:r>
      <w:r w:rsidR="00950EB9" w:rsidRPr="004D2F23">
        <w:rPr>
          <w:rFonts w:ascii="Times New Roman" w:hAnsi="Times New Roman" w:cs="Times New Roman"/>
          <w:b/>
          <w:sz w:val="28"/>
          <w:szCs w:val="28"/>
        </w:rPr>
        <w:t>Thực hiện giao dịch mua và tiếp quản (giao dịch P&amp;A – Purchase and Assumption)</w:t>
      </w:r>
    </w:p>
    <w:p w14:paraId="2CC3A1AF" w14:textId="77777777" w:rsidR="00950EB9" w:rsidRPr="004D2F23" w:rsidRDefault="00950EB9" w:rsidP="00563502">
      <w:pPr>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Phần lớn DIS có thể cung cấp tiền để hỗ trợ việc chuyển giao các hoạt động sang một ngân hàng có khả năng thanh toán thông qua các giao dịch P&amp;A. Trong các giao dịch P&amp;A, một số hoặc toàn bộ tiền gửi và có thể là các khoản nợ phải trả khác được chuyển từ ngân hàng đang phá sản sang một ngân hàng mua lại. Việc chuyển giao được hỗ trợ bằng giá trị tương đương của tài sản của ngân hàng đang phá sản, với điều kiện là có đủ tài sản. Khi có sự thiếu hụt giữa tài sản và nợ phải trả để chuyển giao, </w:t>
      </w:r>
      <w:r w:rsidR="00563502" w:rsidRPr="004D2F23">
        <w:rPr>
          <w:rFonts w:ascii="Times New Roman" w:hAnsi="Times New Roman" w:cs="Times New Roman"/>
          <w:sz w:val="28"/>
          <w:szCs w:val="28"/>
        </w:rPr>
        <w:t xml:space="preserve">BHTG sẽ sử dụng thêm </w:t>
      </w:r>
      <w:r w:rsidRPr="004D2F23">
        <w:rPr>
          <w:rFonts w:ascii="Times New Roman" w:hAnsi="Times New Roman" w:cs="Times New Roman"/>
          <w:sz w:val="28"/>
          <w:szCs w:val="28"/>
        </w:rPr>
        <w:t>nguồn tài trợ khác.</w:t>
      </w:r>
    </w:p>
    <w:p w14:paraId="681E75BD" w14:textId="77777777" w:rsidR="00563502" w:rsidRPr="004D2F23" w:rsidRDefault="00563502" w:rsidP="00563502">
      <w:pPr>
        <w:ind w:firstLine="720"/>
        <w:jc w:val="both"/>
        <w:rPr>
          <w:rFonts w:ascii="Times New Roman" w:hAnsi="Times New Roman" w:cs="Times New Roman"/>
          <w:sz w:val="28"/>
          <w:szCs w:val="28"/>
        </w:rPr>
      </w:pPr>
      <w:r w:rsidRPr="004D2F23">
        <w:rPr>
          <w:rFonts w:ascii="Times New Roman" w:hAnsi="Times New Roman" w:cs="Times New Roman"/>
          <w:sz w:val="28"/>
          <w:szCs w:val="28"/>
        </w:rPr>
        <w:t>Bảng 1 ở dưới tóm lược 26 quỹ BHTG có thể hỗ trợ một số hình thức giao dịch P&amp;A ở mức tối thiểu (chuyển giao tiền gửi). Tuy nhiên, mức độ khả dụng của việc thực hiện trên thực tế</w:t>
      </w:r>
      <w:r w:rsidR="002C27EA" w:rsidRPr="004D2F23">
        <w:rPr>
          <w:rFonts w:ascii="Times New Roman" w:hAnsi="Times New Roman" w:cs="Times New Roman"/>
          <w:sz w:val="28"/>
          <w:szCs w:val="28"/>
        </w:rPr>
        <w:t xml:space="preserve"> </w:t>
      </w:r>
      <w:r w:rsidRPr="004D2F23">
        <w:rPr>
          <w:rFonts w:ascii="Times New Roman" w:hAnsi="Times New Roman" w:cs="Times New Roman"/>
          <w:sz w:val="28"/>
          <w:szCs w:val="28"/>
        </w:rPr>
        <w:t xml:space="preserve">phụ thuộc vào các yếu tố như cấu trúc của khu vực ngân hàng, chi phí của các tùy chọn thanh lý thay thế và nhiệm vụ và quyền hạn liên quan của </w:t>
      </w:r>
      <w:r w:rsidR="002C27EA" w:rsidRPr="004D2F23">
        <w:rPr>
          <w:rFonts w:ascii="Times New Roman" w:hAnsi="Times New Roman" w:cs="Times New Roman"/>
          <w:sz w:val="28"/>
          <w:szCs w:val="28"/>
        </w:rPr>
        <w:t>tổ chức BHTG.</w:t>
      </w:r>
    </w:p>
    <w:tbl>
      <w:tblPr>
        <w:tblW w:w="10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0"/>
        <w:gridCol w:w="1290"/>
        <w:gridCol w:w="1290"/>
        <w:gridCol w:w="1290"/>
        <w:gridCol w:w="46"/>
        <w:gridCol w:w="1276"/>
        <w:gridCol w:w="1985"/>
        <w:gridCol w:w="1701"/>
      </w:tblGrid>
      <w:tr w:rsidR="004D2F23" w:rsidRPr="004D2F23" w14:paraId="28D75590" w14:textId="77777777" w:rsidTr="000F5E8C">
        <w:trPr>
          <w:trHeight w:val="188"/>
        </w:trPr>
        <w:tc>
          <w:tcPr>
            <w:tcW w:w="10168" w:type="dxa"/>
            <w:gridSpan w:val="8"/>
          </w:tcPr>
          <w:p w14:paraId="7397B238" w14:textId="77777777" w:rsidR="002C27EA" w:rsidRPr="004D2F23" w:rsidRDefault="001943B5" w:rsidP="002C27EA">
            <w:pPr>
              <w:autoSpaceDE w:val="0"/>
              <w:autoSpaceDN w:val="0"/>
              <w:adjustRightInd w:val="0"/>
              <w:spacing w:after="0" w:line="240" w:lineRule="auto"/>
              <w:jc w:val="center"/>
              <w:rPr>
                <w:rFonts w:ascii="Times New Roman" w:hAnsi="Times New Roman" w:cs="Times New Roman"/>
                <w:b/>
                <w:sz w:val="28"/>
                <w:szCs w:val="28"/>
              </w:rPr>
            </w:pPr>
            <w:r w:rsidRPr="004D2F23">
              <w:rPr>
                <w:rFonts w:ascii="Times New Roman" w:hAnsi="Times New Roman" w:cs="Times New Roman"/>
                <w:b/>
                <w:sz w:val="28"/>
                <w:szCs w:val="28"/>
              </w:rPr>
              <w:t>THỰC HIỆN GIAO DỊCH MUA VÀ TIẾP QUẢN (PURCHASE AND ASSUMPTION TRANSACTIONS)</w:t>
            </w:r>
          </w:p>
          <w:p w14:paraId="1D9CF107" w14:textId="77777777" w:rsidR="002C27EA" w:rsidRPr="004D2F23" w:rsidRDefault="002C27EA" w:rsidP="002C27EA">
            <w:pPr>
              <w:autoSpaceDE w:val="0"/>
              <w:autoSpaceDN w:val="0"/>
              <w:adjustRightInd w:val="0"/>
              <w:spacing w:after="0" w:line="240" w:lineRule="auto"/>
              <w:jc w:val="center"/>
              <w:rPr>
                <w:rFonts w:ascii="Times New Roman" w:hAnsi="Times New Roman" w:cs="Times New Roman"/>
                <w:b/>
                <w:sz w:val="28"/>
                <w:szCs w:val="28"/>
              </w:rPr>
            </w:pPr>
          </w:p>
        </w:tc>
      </w:tr>
      <w:tr w:rsidR="004D2F23" w:rsidRPr="004D2F23" w14:paraId="26D71AD9" w14:textId="77777777" w:rsidTr="00C0449E">
        <w:trPr>
          <w:trHeight w:val="282"/>
        </w:trPr>
        <w:tc>
          <w:tcPr>
            <w:tcW w:w="5206" w:type="dxa"/>
            <w:gridSpan w:val="5"/>
          </w:tcPr>
          <w:p w14:paraId="67FA3BBE" w14:textId="77777777" w:rsidR="002C27EA" w:rsidRPr="004D2F23" w:rsidRDefault="002C27EA" w:rsidP="002C27EA">
            <w:pPr>
              <w:autoSpaceDE w:val="0"/>
              <w:autoSpaceDN w:val="0"/>
              <w:adjustRightInd w:val="0"/>
              <w:spacing w:after="0" w:line="240" w:lineRule="auto"/>
              <w:jc w:val="center"/>
              <w:rPr>
                <w:rFonts w:ascii="Times New Roman" w:hAnsi="Times New Roman" w:cs="Times New Roman"/>
                <w:b/>
                <w:sz w:val="28"/>
                <w:szCs w:val="28"/>
              </w:rPr>
            </w:pPr>
            <w:r w:rsidRPr="004D2F23">
              <w:rPr>
                <w:rFonts w:ascii="Times New Roman" w:hAnsi="Times New Roman" w:cs="Times New Roman"/>
                <w:b/>
                <w:sz w:val="28"/>
                <w:szCs w:val="28"/>
              </w:rPr>
              <w:t>Loại nghĩa vụ</w:t>
            </w:r>
          </w:p>
        </w:tc>
        <w:tc>
          <w:tcPr>
            <w:tcW w:w="1276" w:type="dxa"/>
          </w:tcPr>
          <w:p w14:paraId="05D2DE57" w14:textId="77777777" w:rsidR="002C27EA" w:rsidRPr="004D2F23" w:rsidRDefault="002C27EA" w:rsidP="002C27EA">
            <w:pPr>
              <w:autoSpaceDE w:val="0"/>
              <w:autoSpaceDN w:val="0"/>
              <w:adjustRightInd w:val="0"/>
              <w:spacing w:after="0" w:line="240" w:lineRule="auto"/>
              <w:jc w:val="center"/>
              <w:rPr>
                <w:rFonts w:ascii="Times New Roman" w:hAnsi="Times New Roman" w:cs="Times New Roman"/>
                <w:b/>
                <w:sz w:val="28"/>
                <w:szCs w:val="28"/>
              </w:rPr>
            </w:pPr>
            <w:r w:rsidRPr="004D2F23">
              <w:rPr>
                <w:rFonts w:ascii="Times New Roman" w:hAnsi="Times New Roman" w:cs="Times New Roman"/>
                <w:b/>
                <w:sz w:val="28"/>
                <w:szCs w:val="28"/>
              </w:rPr>
              <w:t>Ưu tiên người gửi tiền</w:t>
            </w:r>
          </w:p>
        </w:tc>
        <w:tc>
          <w:tcPr>
            <w:tcW w:w="3686" w:type="dxa"/>
            <w:gridSpan w:val="2"/>
          </w:tcPr>
          <w:p w14:paraId="05A85BD1" w14:textId="77777777" w:rsidR="002C27EA" w:rsidRPr="004D2F23" w:rsidRDefault="002C27EA" w:rsidP="002C27EA">
            <w:pPr>
              <w:autoSpaceDE w:val="0"/>
              <w:autoSpaceDN w:val="0"/>
              <w:adjustRightInd w:val="0"/>
              <w:spacing w:after="0" w:line="240" w:lineRule="auto"/>
              <w:jc w:val="center"/>
              <w:rPr>
                <w:rFonts w:ascii="Times New Roman" w:hAnsi="Times New Roman" w:cs="Times New Roman"/>
                <w:b/>
                <w:sz w:val="28"/>
                <w:szCs w:val="28"/>
              </w:rPr>
            </w:pPr>
            <w:r w:rsidRPr="004D2F23">
              <w:rPr>
                <w:rFonts w:ascii="Times New Roman" w:hAnsi="Times New Roman" w:cs="Times New Roman"/>
                <w:b/>
                <w:sz w:val="28"/>
                <w:szCs w:val="28"/>
              </w:rPr>
              <w:t>Nguồn tài trợ bổ sung</w:t>
            </w:r>
          </w:p>
        </w:tc>
      </w:tr>
      <w:tr w:rsidR="004D2F23" w:rsidRPr="004D2F23" w14:paraId="1642F001" w14:textId="77777777" w:rsidTr="00351B31">
        <w:trPr>
          <w:trHeight w:val="371"/>
        </w:trPr>
        <w:tc>
          <w:tcPr>
            <w:tcW w:w="1290" w:type="dxa"/>
          </w:tcPr>
          <w:p w14:paraId="252DB9F8" w14:textId="77777777" w:rsidR="002C27EA" w:rsidRPr="004D2F23" w:rsidRDefault="008E5934" w:rsidP="002C27EA">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Quốc gia (tổ chức BHTG)</w:t>
            </w:r>
            <w:r w:rsidR="002C27EA" w:rsidRPr="004D2F23">
              <w:rPr>
                <w:rFonts w:ascii="Times New Roman" w:hAnsi="Times New Roman" w:cs="Times New Roman"/>
                <w:b/>
                <w:sz w:val="28"/>
                <w:szCs w:val="28"/>
              </w:rPr>
              <w:t xml:space="preserve"> </w:t>
            </w:r>
          </w:p>
        </w:tc>
        <w:tc>
          <w:tcPr>
            <w:tcW w:w="1290" w:type="dxa"/>
          </w:tcPr>
          <w:p w14:paraId="66442F57" w14:textId="77777777" w:rsidR="002C27EA" w:rsidRPr="004D2F23" w:rsidRDefault="002C27EA" w:rsidP="002C27EA">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Tiền gửi được bảo hiểm </w:t>
            </w:r>
          </w:p>
        </w:tc>
        <w:tc>
          <w:tcPr>
            <w:tcW w:w="1290" w:type="dxa"/>
          </w:tcPr>
          <w:p w14:paraId="60D90B0C" w14:textId="77777777" w:rsidR="002C27EA" w:rsidRPr="004D2F23" w:rsidRDefault="002C27EA" w:rsidP="002C27EA">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Tiền gửi không được bảo hiểm </w:t>
            </w:r>
          </w:p>
        </w:tc>
        <w:tc>
          <w:tcPr>
            <w:tcW w:w="1290" w:type="dxa"/>
          </w:tcPr>
          <w:p w14:paraId="0189C187" w14:textId="77777777" w:rsidR="002C27EA" w:rsidRPr="004D2F23" w:rsidRDefault="007E57F8" w:rsidP="007E57F8">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Các khoản phải trả khác</w:t>
            </w:r>
          </w:p>
        </w:tc>
        <w:tc>
          <w:tcPr>
            <w:tcW w:w="1322" w:type="dxa"/>
            <w:gridSpan w:val="2"/>
          </w:tcPr>
          <w:p w14:paraId="1CD1F651" w14:textId="77777777" w:rsidR="002C27EA" w:rsidRPr="004D2F23" w:rsidRDefault="002C27EA" w:rsidP="002C27EA">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Có/không</w:t>
            </w:r>
          </w:p>
        </w:tc>
        <w:tc>
          <w:tcPr>
            <w:tcW w:w="1985" w:type="dxa"/>
          </w:tcPr>
          <w:p w14:paraId="3DE34397" w14:textId="77777777" w:rsidR="002C27EA" w:rsidRPr="004D2F23" w:rsidRDefault="002C27EA" w:rsidP="002C27EA">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Nguồn vốn dự phòng từ khu vực công (Public backup funding) </w:t>
            </w:r>
          </w:p>
        </w:tc>
        <w:tc>
          <w:tcPr>
            <w:tcW w:w="1701" w:type="dxa"/>
          </w:tcPr>
          <w:p w14:paraId="52A4C5BE" w14:textId="77777777" w:rsidR="002C27EA" w:rsidRPr="004D2F23" w:rsidRDefault="002C27EA" w:rsidP="002C27EA">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Vay (Private borrowing)</w:t>
            </w:r>
          </w:p>
        </w:tc>
      </w:tr>
      <w:tr w:rsidR="004D2F23" w:rsidRPr="004D2F23" w14:paraId="5A69349A" w14:textId="77777777" w:rsidTr="00351B31">
        <w:trPr>
          <w:trHeight w:val="145"/>
        </w:trPr>
        <w:tc>
          <w:tcPr>
            <w:tcW w:w="1290" w:type="dxa"/>
          </w:tcPr>
          <w:p w14:paraId="20FE1202"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Úc</w:t>
            </w:r>
          </w:p>
          <w:p w14:paraId="4E05A0AE"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(FCS) </w:t>
            </w:r>
          </w:p>
        </w:tc>
        <w:tc>
          <w:tcPr>
            <w:tcW w:w="1290" w:type="dxa"/>
          </w:tcPr>
          <w:p w14:paraId="48F217C4"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0A868AE8"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668B8B72"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127171DA"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25297F14"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43FCF5A9"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652E3A5D" w14:textId="77777777" w:rsidTr="00351B31">
        <w:trPr>
          <w:trHeight w:val="157"/>
        </w:trPr>
        <w:tc>
          <w:tcPr>
            <w:tcW w:w="1290" w:type="dxa"/>
          </w:tcPr>
          <w:p w14:paraId="1113DA7B"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Barbados (BDIC) </w:t>
            </w:r>
          </w:p>
        </w:tc>
        <w:tc>
          <w:tcPr>
            <w:tcW w:w="1290" w:type="dxa"/>
          </w:tcPr>
          <w:p w14:paraId="41B14EB1"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4A24A402"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7AB4B40B"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016C099A"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28B9194F"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600CC6A9"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232F549F" w14:textId="77777777" w:rsidTr="00351B31">
        <w:trPr>
          <w:trHeight w:val="145"/>
        </w:trPr>
        <w:tc>
          <w:tcPr>
            <w:tcW w:w="1290" w:type="dxa"/>
          </w:tcPr>
          <w:p w14:paraId="3981F8C6"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Canada (CDIC) </w:t>
            </w:r>
          </w:p>
        </w:tc>
        <w:tc>
          <w:tcPr>
            <w:tcW w:w="1290" w:type="dxa"/>
          </w:tcPr>
          <w:p w14:paraId="4A31887D"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694E04F7"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71216499"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291D3EDD"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620172BC"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6C9B76F4"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418B39F4" w14:textId="77777777" w:rsidTr="00351B31">
        <w:trPr>
          <w:trHeight w:val="158"/>
        </w:trPr>
        <w:tc>
          <w:tcPr>
            <w:tcW w:w="1290" w:type="dxa"/>
          </w:tcPr>
          <w:p w14:paraId="69CE137A"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lastRenderedPageBreak/>
              <w:t xml:space="preserve">Colombia (Fogafín) </w:t>
            </w:r>
          </w:p>
        </w:tc>
        <w:tc>
          <w:tcPr>
            <w:tcW w:w="1290" w:type="dxa"/>
          </w:tcPr>
          <w:p w14:paraId="21CE269C"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7CABE8BD"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6A0C9218"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7F4D9116"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5DC3E82F"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3FAF4231"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48B709F3" w14:textId="77777777" w:rsidTr="00351B31">
        <w:trPr>
          <w:trHeight w:val="145"/>
        </w:trPr>
        <w:tc>
          <w:tcPr>
            <w:tcW w:w="1290" w:type="dxa"/>
          </w:tcPr>
          <w:p w14:paraId="153B0B8D"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Phần Lan (DGF) </w:t>
            </w:r>
          </w:p>
        </w:tc>
        <w:tc>
          <w:tcPr>
            <w:tcW w:w="1290" w:type="dxa"/>
          </w:tcPr>
          <w:p w14:paraId="1536E5C2"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76190C87"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3A029B11"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1103B6F7"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568EE8C3"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4384622C"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636BCB2D" w14:textId="77777777" w:rsidTr="00351B31">
        <w:trPr>
          <w:trHeight w:val="158"/>
        </w:trPr>
        <w:tc>
          <w:tcPr>
            <w:tcW w:w="1290" w:type="dxa"/>
          </w:tcPr>
          <w:p w14:paraId="3105928F"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Đức (DPFB) </w:t>
            </w:r>
          </w:p>
        </w:tc>
        <w:tc>
          <w:tcPr>
            <w:tcW w:w="1290" w:type="dxa"/>
          </w:tcPr>
          <w:p w14:paraId="3DD44547"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137279A8"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29B1D2BD"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25EE52AF"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42E6DBFD"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2D925FA3"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4C40F591" w14:textId="77777777" w:rsidTr="00351B31">
        <w:trPr>
          <w:trHeight w:val="145"/>
        </w:trPr>
        <w:tc>
          <w:tcPr>
            <w:tcW w:w="1290" w:type="dxa"/>
          </w:tcPr>
          <w:p w14:paraId="395E6AD2"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Honduras (FOSEDE) </w:t>
            </w:r>
          </w:p>
        </w:tc>
        <w:tc>
          <w:tcPr>
            <w:tcW w:w="1290" w:type="dxa"/>
          </w:tcPr>
          <w:p w14:paraId="7634BC39"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6025D0EA"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25CC84BD"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320D176F"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3B48CFD2"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7359849A"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62180362" w14:textId="77777777" w:rsidTr="00351B31">
        <w:trPr>
          <w:trHeight w:val="158"/>
        </w:trPr>
        <w:tc>
          <w:tcPr>
            <w:tcW w:w="1290" w:type="dxa"/>
          </w:tcPr>
          <w:p w14:paraId="73198B9F"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Indonesia (IDIC) </w:t>
            </w:r>
          </w:p>
        </w:tc>
        <w:tc>
          <w:tcPr>
            <w:tcW w:w="1290" w:type="dxa"/>
          </w:tcPr>
          <w:p w14:paraId="360E4BB2"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5D7ACBF2"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4AEEEC6A"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4AF06EC1"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04D5D090"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19AECDC0"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5ABE9A9A" w14:textId="77777777" w:rsidTr="00351B31">
        <w:trPr>
          <w:trHeight w:val="145"/>
        </w:trPr>
        <w:tc>
          <w:tcPr>
            <w:tcW w:w="1290" w:type="dxa"/>
          </w:tcPr>
          <w:p w14:paraId="4E46AF20"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Italy (FITD) </w:t>
            </w:r>
          </w:p>
        </w:tc>
        <w:tc>
          <w:tcPr>
            <w:tcW w:w="1290" w:type="dxa"/>
          </w:tcPr>
          <w:p w14:paraId="08B94761"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46F4052B"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1A770D8D"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644FA646"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5EAAB347"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55ACA18E"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41FB9749" w14:textId="77777777" w:rsidTr="00351B31">
        <w:trPr>
          <w:trHeight w:val="158"/>
        </w:trPr>
        <w:tc>
          <w:tcPr>
            <w:tcW w:w="1290" w:type="dxa"/>
          </w:tcPr>
          <w:p w14:paraId="5D3DF3DD"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Jamaica (JDIC) </w:t>
            </w:r>
          </w:p>
        </w:tc>
        <w:tc>
          <w:tcPr>
            <w:tcW w:w="1290" w:type="dxa"/>
          </w:tcPr>
          <w:p w14:paraId="2CC15109"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0F4E8164"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51C698DE"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4AE357B0"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0EA7C904"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55D75C45"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3B1CDF7E" w14:textId="77777777" w:rsidTr="00351B31">
        <w:trPr>
          <w:trHeight w:val="145"/>
        </w:trPr>
        <w:tc>
          <w:tcPr>
            <w:tcW w:w="1290" w:type="dxa"/>
          </w:tcPr>
          <w:p w14:paraId="6BE7ABA6" w14:textId="77777777" w:rsidR="002C27EA" w:rsidRPr="004D2F23" w:rsidRDefault="00495505"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Nhật</w:t>
            </w:r>
            <w:r w:rsidR="002C27EA" w:rsidRPr="004D2F23">
              <w:rPr>
                <w:rFonts w:ascii="Segoe UI" w:hAnsi="Segoe UI" w:cs="Segoe UI"/>
                <w:sz w:val="28"/>
                <w:szCs w:val="28"/>
              </w:rPr>
              <w:t xml:space="preserve"> </w:t>
            </w:r>
            <w:r w:rsidRPr="004D2F23">
              <w:rPr>
                <w:rFonts w:ascii="Segoe UI" w:hAnsi="Segoe UI" w:cs="Segoe UI"/>
                <w:sz w:val="28"/>
                <w:szCs w:val="28"/>
              </w:rPr>
              <w:t xml:space="preserve">Quốc </w:t>
            </w:r>
            <w:r w:rsidR="002C27EA" w:rsidRPr="004D2F23">
              <w:rPr>
                <w:rFonts w:ascii="Segoe UI" w:hAnsi="Segoe UI" w:cs="Segoe UI"/>
                <w:sz w:val="28"/>
                <w:szCs w:val="28"/>
              </w:rPr>
              <w:t xml:space="preserve">(DICJ) </w:t>
            </w:r>
          </w:p>
        </w:tc>
        <w:tc>
          <w:tcPr>
            <w:tcW w:w="1290" w:type="dxa"/>
          </w:tcPr>
          <w:p w14:paraId="31B1013B"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6E890CEC"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1AC1A76F"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1240FDCE"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62558F51"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0767FB35"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1FCDA34B" w14:textId="77777777" w:rsidTr="00351B31">
        <w:trPr>
          <w:trHeight w:val="158"/>
        </w:trPr>
        <w:tc>
          <w:tcPr>
            <w:tcW w:w="1290" w:type="dxa"/>
          </w:tcPr>
          <w:p w14:paraId="5DB6CA4D" w14:textId="77777777" w:rsidR="002C27EA" w:rsidRPr="004D2F23" w:rsidRDefault="00495505"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Hàn Quốc</w:t>
            </w:r>
            <w:r w:rsidR="002C27EA" w:rsidRPr="004D2F23">
              <w:rPr>
                <w:rFonts w:ascii="Segoe UI" w:hAnsi="Segoe UI" w:cs="Segoe UI"/>
                <w:sz w:val="28"/>
                <w:szCs w:val="28"/>
              </w:rPr>
              <w:t xml:space="preserve"> (KDIC) </w:t>
            </w:r>
          </w:p>
        </w:tc>
        <w:tc>
          <w:tcPr>
            <w:tcW w:w="1290" w:type="dxa"/>
          </w:tcPr>
          <w:p w14:paraId="487BCA88"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5015A616"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69917C4C"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0D5A5571"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5D8C7DC1"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71C14DAC"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6AD49CBC" w14:textId="77777777" w:rsidTr="00351B31">
        <w:trPr>
          <w:trHeight w:val="145"/>
        </w:trPr>
        <w:tc>
          <w:tcPr>
            <w:tcW w:w="1290" w:type="dxa"/>
          </w:tcPr>
          <w:p w14:paraId="2EFE25A0"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Mexico (IPAB) </w:t>
            </w:r>
          </w:p>
        </w:tc>
        <w:tc>
          <w:tcPr>
            <w:tcW w:w="1290" w:type="dxa"/>
          </w:tcPr>
          <w:p w14:paraId="66F6397F"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0F08BD31"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5D4EC489"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31D69D67"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116145E6"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5BC334FC"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633552F4" w14:textId="77777777" w:rsidTr="00351B31">
        <w:trPr>
          <w:trHeight w:val="158"/>
        </w:trPr>
        <w:tc>
          <w:tcPr>
            <w:tcW w:w="1290" w:type="dxa"/>
          </w:tcPr>
          <w:p w14:paraId="798DB56E"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Moldova (FGDSB) </w:t>
            </w:r>
          </w:p>
        </w:tc>
        <w:tc>
          <w:tcPr>
            <w:tcW w:w="1290" w:type="dxa"/>
          </w:tcPr>
          <w:p w14:paraId="4C7634C5"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6DD3547D"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5F5D20F7"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12C6909B"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66A63ADC"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122CFEBD"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2E3BF908" w14:textId="77777777" w:rsidTr="00351B31">
        <w:trPr>
          <w:trHeight w:val="145"/>
        </w:trPr>
        <w:tc>
          <w:tcPr>
            <w:tcW w:w="1290" w:type="dxa"/>
          </w:tcPr>
          <w:p w14:paraId="0FBC409F" w14:textId="77777777" w:rsidR="00495505" w:rsidRPr="004D2F23" w:rsidRDefault="00495505"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Mông Cổ </w:t>
            </w:r>
          </w:p>
          <w:p w14:paraId="4407CF68"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(DICoM) </w:t>
            </w:r>
          </w:p>
        </w:tc>
        <w:tc>
          <w:tcPr>
            <w:tcW w:w="1290" w:type="dxa"/>
          </w:tcPr>
          <w:p w14:paraId="7AAC92BB"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49861ADA"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38C0EDE5"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5C7335B8"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4AE0B147"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28FDDE0A"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6A3054E8" w14:textId="77777777" w:rsidTr="00351B31">
        <w:trPr>
          <w:trHeight w:val="157"/>
        </w:trPr>
        <w:tc>
          <w:tcPr>
            <w:tcW w:w="1290" w:type="dxa"/>
          </w:tcPr>
          <w:p w14:paraId="4DCD61C0"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Morocco (SGFG) </w:t>
            </w:r>
          </w:p>
        </w:tc>
        <w:tc>
          <w:tcPr>
            <w:tcW w:w="1290" w:type="dxa"/>
          </w:tcPr>
          <w:p w14:paraId="5B2BE548"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3E07CF87"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4CB135C0"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4567DA12"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3C25BDC7"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0EEE61F3"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02D1AB94" w14:textId="77777777" w:rsidTr="00351B31">
        <w:trPr>
          <w:trHeight w:val="145"/>
        </w:trPr>
        <w:tc>
          <w:tcPr>
            <w:tcW w:w="1290" w:type="dxa"/>
          </w:tcPr>
          <w:p w14:paraId="5B3639DF"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lastRenderedPageBreak/>
              <w:t xml:space="preserve">Nigeria (NDIC) </w:t>
            </w:r>
          </w:p>
        </w:tc>
        <w:tc>
          <w:tcPr>
            <w:tcW w:w="1290" w:type="dxa"/>
          </w:tcPr>
          <w:p w14:paraId="4A5707F0"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07D8598F"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11F06E7C"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4FCB52FA"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463B290C"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66A27E3C"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21ACA2B0" w14:textId="77777777" w:rsidTr="00351B31">
        <w:trPr>
          <w:trHeight w:val="157"/>
        </w:trPr>
        <w:tc>
          <w:tcPr>
            <w:tcW w:w="1290" w:type="dxa"/>
          </w:tcPr>
          <w:p w14:paraId="40AFEFD5" w14:textId="77777777" w:rsidR="002C27EA" w:rsidRPr="004D2F23" w:rsidRDefault="00495505"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Na uy</w:t>
            </w:r>
            <w:r w:rsidR="002C27EA" w:rsidRPr="004D2F23">
              <w:rPr>
                <w:rFonts w:ascii="Segoe UI" w:hAnsi="Segoe UI" w:cs="Segoe UI"/>
                <w:sz w:val="28"/>
                <w:szCs w:val="28"/>
              </w:rPr>
              <w:t xml:space="preserve"> (NBGF) </w:t>
            </w:r>
          </w:p>
        </w:tc>
        <w:tc>
          <w:tcPr>
            <w:tcW w:w="1290" w:type="dxa"/>
          </w:tcPr>
          <w:p w14:paraId="38909885"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1E380481"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661188B3"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49B631F0"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6DA6A824"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2D8D52C2"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5FF9D93D" w14:textId="77777777" w:rsidTr="00351B31">
        <w:trPr>
          <w:trHeight w:val="145"/>
        </w:trPr>
        <w:tc>
          <w:tcPr>
            <w:tcW w:w="1290" w:type="dxa"/>
          </w:tcPr>
          <w:p w14:paraId="76E9F4FA" w14:textId="77777777" w:rsidR="002C27EA" w:rsidRPr="004D2F23" w:rsidRDefault="00495505"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Bắc Lan</w:t>
            </w:r>
            <w:r w:rsidR="002C27EA" w:rsidRPr="004D2F23">
              <w:rPr>
                <w:rFonts w:ascii="Segoe UI" w:hAnsi="Segoe UI" w:cs="Segoe UI"/>
                <w:sz w:val="28"/>
                <w:szCs w:val="28"/>
              </w:rPr>
              <w:t xml:space="preserve"> (BFG) </w:t>
            </w:r>
          </w:p>
        </w:tc>
        <w:tc>
          <w:tcPr>
            <w:tcW w:w="1290" w:type="dxa"/>
          </w:tcPr>
          <w:p w14:paraId="0868201F"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1DA4FE22"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5DB63305"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31D02A66"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19F74DE5"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3F73FE91"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7A327672" w14:textId="77777777" w:rsidTr="00351B31">
        <w:trPr>
          <w:trHeight w:val="157"/>
        </w:trPr>
        <w:tc>
          <w:tcPr>
            <w:tcW w:w="1290" w:type="dxa"/>
          </w:tcPr>
          <w:p w14:paraId="0F0FEDD4" w14:textId="77777777" w:rsidR="002C27EA" w:rsidRPr="004D2F23" w:rsidRDefault="00495505"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Nga</w:t>
            </w:r>
            <w:r w:rsidR="002C27EA" w:rsidRPr="004D2F23">
              <w:rPr>
                <w:rFonts w:ascii="Segoe UI" w:hAnsi="Segoe UI" w:cs="Segoe UI"/>
                <w:sz w:val="28"/>
                <w:szCs w:val="28"/>
              </w:rPr>
              <w:t xml:space="preserve"> (ASV) </w:t>
            </w:r>
          </w:p>
        </w:tc>
        <w:tc>
          <w:tcPr>
            <w:tcW w:w="1290" w:type="dxa"/>
          </w:tcPr>
          <w:p w14:paraId="71238A5F"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7B804CBA"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040C8345"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6F149FBE"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05412647"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2F6614A3"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0EB630E4" w14:textId="77777777" w:rsidTr="00351B31">
        <w:trPr>
          <w:trHeight w:val="145"/>
        </w:trPr>
        <w:tc>
          <w:tcPr>
            <w:tcW w:w="1290" w:type="dxa"/>
          </w:tcPr>
          <w:p w14:paraId="7CF6ED52"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Serbia (AOD) </w:t>
            </w:r>
          </w:p>
        </w:tc>
        <w:tc>
          <w:tcPr>
            <w:tcW w:w="1290" w:type="dxa"/>
          </w:tcPr>
          <w:p w14:paraId="27FB5103"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6F5F9B0E"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41CC666A"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5981D3C9"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64A6B9B5"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6B2F3FF9"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518BA330" w14:textId="77777777" w:rsidTr="00351B31">
        <w:trPr>
          <w:trHeight w:val="157"/>
        </w:trPr>
        <w:tc>
          <w:tcPr>
            <w:tcW w:w="1290" w:type="dxa"/>
          </w:tcPr>
          <w:p w14:paraId="7E7E50D9"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Singapore (SDIC) </w:t>
            </w:r>
          </w:p>
        </w:tc>
        <w:tc>
          <w:tcPr>
            <w:tcW w:w="1290" w:type="dxa"/>
          </w:tcPr>
          <w:p w14:paraId="4EF0939C"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7E5BAE65"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1E3E5A05"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591038EC"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5E649E08"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550F931D"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6A28D150" w14:textId="77777777" w:rsidTr="00351B31">
        <w:trPr>
          <w:trHeight w:val="145"/>
        </w:trPr>
        <w:tc>
          <w:tcPr>
            <w:tcW w:w="1290" w:type="dxa"/>
          </w:tcPr>
          <w:p w14:paraId="7500589A" w14:textId="77777777" w:rsidR="002C27EA" w:rsidRPr="004D2F23" w:rsidRDefault="00495505"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Thổ Nhĩ Kỳ</w:t>
            </w:r>
            <w:r w:rsidR="002C27EA" w:rsidRPr="004D2F23">
              <w:rPr>
                <w:rFonts w:ascii="Segoe UI" w:hAnsi="Segoe UI" w:cs="Segoe UI"/>
                <w:sz w:val="28"/>
                <w:szCs w:val="28"/>
              </w:rPr>
              <w:t xml:space="preserve"> (SDIF) </w:t>
            </w:r>
          </w:p>
        </w:tc>
        <w:tc>
          <w:tcPr>
            <w:tcW w:w="1290" w:type="dxa"/>
          </w:tcPr>
          <w:p w14:paraId="295408ED"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17E7450A"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1E505B6A"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0BCFAFA0"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399156DB"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17BDDF36"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458B3AD3" w14:textId="77777777" w:rsidTr="00351B31">
        <w:trPr>
          <w:trHeight w:val="157"/>
        </w:trPr>
        <w:tc>
          <w:tcPr>
            <w:tcW w:w="1290" w:type="dxa"/>
          </w:tcPr>
          <w:p w14:paraId="3AF2DAD5"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UK (FSCS) </w:t>
            </w:r>
          </w:p>
        </w:tc>
        <w:tc>
          <w:tcPr>
            <w:tcW w:w="1290" w:type="dxa"/>
          </w:tcPr>
          <w:p w14:paraId="11C1DF05"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55957AC9"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62946528"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71F99E33"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1036EF3C"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26848912"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1BD19949" w14:textId="77777777" w:rsidTr="00351B31">
        <w:trPr>
          <w:trHeight w:val="145"/>
        </w:trPr>
        <w:tc>
          <w:tcPr>
            <w:tcW w:w="1290" w:type="dxa"/>
          </w:tcPr>
          <w:p w14:paraId="095C8ED7"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Uruguay (COPAB) </w:t>
            </w:r>
          </w:p>
        </w:tc>
        <w:tc>
          <w:tcPr>
            <w:tcW w:w="1290" w:type="dxa"/>
          </w:tcPr>
          <w:p w14:paraId="3EE08DF2"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47B24D76"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1E528BD3"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5FCADCF7"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048BDC3B"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048C7783"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06368A25" w14:textId="77777777" w:rsidTr="00351B31">
        <w:trPr>
          <w:trHeight w:val="158"/>
        </w:trPr>
        <w:tc>
          <w:tcPr>
            <w:tcW w:w="1290" w:type="dxa"/>
          </w:tcPr>
          <w:p w14:paraId="52F23DF1"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Segoe UI" w:hAnsi="Segoe UI" w:cs="Segoe UI"/>
                <w:sz w:val="28"/>
                <w:szCs w:val="28"/>
              </w:rPr>
              <w:t xml:space="preserve">US (FDIC) </w:t>
            </w:r>
          </w:p>
        </w:tc>
        <w:tc>
          <w:tcPr>
            <w:tcW w:w="1290" w:type="dxa"/>
          </w:tcPr>
          <w:p w14:paraId="323F17C6"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397FDCE0"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79493DF6"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322" w:type="dxa"/>
            <w:gridSpan w:val="2"/>
          </w:tcPr>
          <w:p w14:paraId="09DAF63D"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985" w:type="dxa"/>
          </w:tcPr>
          <w:p w14:paraId="30253CFB"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701" w:type="dxa"/>
          </w:tcPr>
          <w:p w14:paraId="1FA13337" w14:textId="77777777" w:rsidR="002C27EA" w:rsidRPr="004D2F23" w:rsidRDefault="002C27EA" w:rsidP="002C27EA">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7AAD242B" w14:textId="77777777" w:rsidTr="000F5E8C">
        <w:trPr>
          <w:trHeight w:val="547"/>
        </w:trPr>
        <w:tc>
          <w:tcPr>
            <w:tcW w:w="10168" w:type="dxa"/>
            <w:gridSpan w:val="8"/>
          </w:tcPr>
          <w:p w14:paraId="755E53A7" w14:textId="77777777" w:rsidR="002C27EA" w:rsidRPr="004D2F23" w:rsidRDefault="00495505" w:rsidP="002C27EA">
            <w:pPr>
              <w:autoSpaceDE w:val="0"/>
              <w:autoSpaceDN w:val="0"/>
              <w:adjustRightInd w:val="0"/>
              <w:spacing w:after="0" w:line="240" w:lineRule="auto"/>
              <w:rPr>
                <w:rFonts w:ascii="Times New Roman" w:hAnsi="Times New Roman" w:cs="Times New Roman"/>
                <w:sz w:val="28"/>
                <w:szCs w:val="28"/>
              </w:rPr>
            </w:pPr>
            <w:r w:rsidRPr="004D2F23">
              <w:rPr>
                <w:rFonts w:ascii="Times New Roman" w:hAnsi="Times New Roman" w:cs="Times New Roman"/>
                <w:sz w:val="28"/>
                <w:szCs w:val="28"/>
              </w:rPr>
              <w:t>Những quỹ BHTG không được sử dụng nguồn lực cho việc chuyển nhượng</w:t>
            </w:r>
            <w:r w:rsidR="002C27EA" w:rsidRPr="004D2F23">
              <w:rPr>
                <w:rFonts w:ascii="Times New Roman" w:hAnsi="Times New Roman" w:cs="Times New Roman"/>
                <w:sz w:val="28"/>
                <w:szCs w:val="28"/>
              </w:rPr>
              <w:t xml:space="preserve">: DIC-BS (Bahamas), FGC (Brazil), COSEDE (Ecuador), BVR (Germany), FGD (Spain), SLDIS (Sri Lanka). </w:t>
            </w:r>
          </w:p>
          <w:p w14:paraId="3EBC1FEF" w14:textId="77777777" w:rsidR="002C27EA" w:rsidRPr="004D2F23" w:rsidRDefault="00495505" w:rsidP="002C27EA">
            <w:pPr>
              <w:autoSpaceDE w:val="0"/>
              <w:autoSpaceDN w:val="0"/>
              <w:adjustRightInd w:val="0"/>
              <w:spacing w:after="0" w:line="240" w:lineRule="auto"/>
              <w:rPr>
                <w:rFonts w:ascii="Times New Roman" w:hAnsi="Times New Roman" w:cs="Times New Roman"/>
                <w:sz w:val="28"/>
                <w:szCs w:val="28"/>
              </w:rPr>
            </w:pPr>
            <w:r w:rsidRPr="004D2F23">
              <w:rPr>
                <w:rFonts w:ascii="Times New Roman" w:hAnsi="Times New Roman" w:cs="Times New Roman"/>
                <w:sz w:val="28"/>
                <w:szCs w:val="28"/>
              </w:rPr>
              <w:t>Tây Ban Nha</w:t>
            </w:r>
            <w:r w:rsidR="002C27EA" w:rsidRPr="004D2F23">
              <w:rPr>
                <w:rFonts w:ascii="Times New Roman" w:hAnsi="Times New Roman" w:cs="Times New Roman"/>
                <w:sz w:val="28"/>
                <w:szCs w:val="28"/>
              </w:rPr>
              <w:t xml:space="preserve"> FGD </w:t>
            </w:r>
            <w:r w:rsidRPr="004D2F23">
              <w:rPr>
                <w:rFonts w:ascii="Times New Roman" w:hAnsi="Times New Roman" w:cs="Times New Roman"/>
                <w:sz w:val="28"/>
                <w:szCs w:val="28"/>
              </w:rPr>
              <w:t>có thể cấp vốn cho các khoản chuyển tiền như một biện pháp ngăn chặn sự phá sản của một ngân hàng thành viên, nhưng không thể cấp vốn cho các khoản chuyển tiền trong bối cảnh thự hiện thủ tục phá sản</w:t>
            </w:r>
          </w:p>
          <w:p w14:paraId="5221EDD0" w14:textId="77777777" w:rsidR="002C27EA" w:rsidRPr="004D2F23" w:rsidRDefault="002C27EA" w:rsidP="002C27EA">
            <w:pPr>
              <w:autoSpaceDE w:val="0"/>
              <w:autoSpaceDN w:val="0"/>
              <w:adjustRightInd w:val="0"/>
              <w:spacing w:after="0" w:line="240" w:lineRule="auto"/>
              <w:rPr>
                <w:rFonts w:ascii="Segoe UI" w:hAnsi="Segoe UI" w:cs="Segoe UI"/>
                <w:sz w:val="28"/>
                <w:szCs w:val="28"/>
              </w:rPr>
            </w:pPr>
            <w:r w:rsidRPr="004D2F23">
              <w:rPr>
                <w:rFonts w:ascii="Times New Roman" w:hAnsi="Times New Roman" w:cs="Times New Roman"/>
                <w:sz w:val="28"/>
                <w:szCs w:val="28"/>
              </w:rPr>
              <w:t>Source: 2019 ad hoc survey and IADI (2018).</w:t>
            </w:r>
            <w:r w:rsidRPr="004D2F23">
              <w:rPr>
                <w:rFonts w:ascii="Segoe UI" w:hAnsi="Segoe UI" w:cs="Segoe UI"/>
                <w:sz w:val="28"/>
                <w:szCs w:val="28"/>
              </w:rPr>
              <w:t xml:space="preserve"> </w:t>
            </w:r>
          </w:p>
        </w:tc>
      </w:tr>
    </w:tbl>
    <w:p w14:paraId="5F517D21" w14:textId="77777777" w:rsidR="00FB6E29" w:rsidRPr="004D2F23" w:rsidRDefault="00FB6E29" w:rsidP="00382F31">
      <w:pPr>
        <w:rPr>
          <w:rFonts w:ascii="Times New Roman" w:hAnsi="Times New Roman" w:cs="Times New Roman"/>
          <w:sz w:val="28"/>
          <w:szCs w:val="28"/>
        </w:rPr>
      </w:pPr>
    </w:p>
    <w:p w14:paraId="06E8E0F2" w14:textId="565B5236" w:rsidR="00913AC7" w:rsidRPr="004D2F23" w:rsidRDefault="000F5E8C" w:rsidP="003D6725">
      <w:pPr>
        <w:ind w:firstLine="720"/>
        <w:jc w:val="both"/>
        <w:rPr>
          <w:rFonts w:ascii="Times New Roman" w:hAnsi="Times New Roman" w:cs="Times New Roman"/>
          <w:sz w:val="28"/>
          <w:szCs w:val="28"/>
        </w:rPr>
      </w:pPr>
      <w:r w:rsidRPr="004D2F23">
        <w:rPr>
          <w:rFonts w:ascii="Times New Roman" w:hAnsi="Times New Roman" w:cs="Times New Roman"/>
          <w:sz w:val="28"/>
          <w:szCs w:val="28"/>
        </w:rPr>
        <w:t>Việc tài trợ của BHTG cho các giao dịch P&amp;A có thể diễn ra dưới nhiều hình thức khác nhau. Một số BGTH chỉ có thể cung cấp tiền mặt cho ngân hàng tiếp nhận (ví dụ: AOD (Serbia), IDIC (Indonesia)), trong khi các BHTG khác có nhiều lựa chọn hơn, bao gồm mua tài sản từ ngân hàng bị phá sản (ví dụ: DICJ (Nhật Bản), KDIC (Hàn Quốc)), các thỏa thuận chia sẻ tổn thất</w:t>
      </w:r>
      <w:r w:rsidRPr="004D2F23">
        <w:rPr>
          <w:rStyle w:val="FootnoteReference"/>
          <w:rFonts w:ascii="Times New Roman" w:hAnsi="Times New Roman" w:cs="Times New Roman"/>
          <w:sz w:val="28"/>
          <w:szCs w:val="28"/>
        </w:rPr>
        <w:footnoteReference w:id="4"/>
      </w:r>
      <w:r w:rsidRPr="004D2F23">
        <w:rPr>
          <w:rFonts w:ascii="Times New Roman" w:hAnsi="Times New Roman" w:cs="Times New Roman"/>
          <w:sz w:val="28"/>
          <w:szCs w:val="28"/>
        </w:rPr>
        <w:t xml:space="preserve"> (ví dụ: CDIC (Canada), FDIC (Hoa Kỳ), </w:t>
      </w:r>
      <w:r w:rsidRPr="004D2F23">
        <w:rPr>
          <w:rFonts w:ascii="Times New Roman" w:hAnsi="Times New Roman" w:cs="Times New Roman"/>
          <w:sz w:val="28"/>
          <w:szCs w:val="28"/>
        </w:rPr>
        <w:lastRenderedPageBreak/>
        <w:t>IPAB (Mexico), SDIC (Singapore)) và cung cấp bảo lãnh (ví dụ: CDIC, Fogafín (Colombia)). Một số BHTG cung cấp các khoản vay thế chấp (ví dụ: JDIC (Jamaica), SLDIS (Sri Lanka)). Hầu hết các BHTG có thể tài trợ cho các khoản chuyển nhượng đều có một số linh hoạt về hình thức cung cấp hỗ trợ đó. Ví dụ, CDIC có quyền hạn rộng rãi để cung cấp tài trợ, bao gồm bảo lãnh có hoặc không có bảo đảm và tham gia vào các thỏa thuận cần thiết, bao gồm chia sẻ tổn thất; FITD (Ý) có thể cung cấp tiền mặt hoặc bảo lãnh cho bên mua; JDIC có thể cung cấp các khoản vay trên cơ sở bảo đảm hoặc bảo lãnh; và SDIC có thể hỗ trợ chuyển nhượng bằng tiền mặt, bảo lãnh hoặc thỏa thuận chia sẻ tổn thất. Phụ lục 2 mô tả các hoạt động của FDIC và FGD (Tây Ban Nha) liên quan đến hỗ trợ tài chính cho các giao dịch P&amp;A</w:t>
      </w:r>
      <w:r w:rsidR="00BB79B2" w:rsidRPr="004D2F23">
        <w:rPr>
          <w:rFonts w:ascii="Times New Roman" w:hAnsi="Times New Roman" w:cs="Times New Roman"/>
          <w:sz w:val="28"/>
          <w:szCs w:val="28"/>
        </w:rPr>
        <w:t>.</w:t>
      </w:r>
    </w:p>
    <w:p w14:paraId="5C2B4B18" w14:textId="77777777" w:rsidR="00BB79B2" w:rsidRPr="004D2F23" w:rsidRDefault="00ED57FE" w:rsidP="00BB79B2">
      <w:pPr>
        <w:ind w:firstLine="720"/>
        <w:jc w:val="both"/>
        <w:rPr>
          <w:rFonts w:ascii="Times New Roman" w:hAnsi="Times New Roman" w:cs="Times New Roman"/>
          <w:b/>
          <w:sz w:val="28"/>
          <w:szCs w:val="28"/>
        </w:rPr>
      </w:pPr>
      <w:r w:rsidRPr="004D2F23">
        <w:rPr>
          <w:rFonts w:ascii="Times New Roman" w:hAnsi="Times New Roman" w:cs="Times New Roman"/>
          <w:b/>
          <w:sz w:val="28"/>
          <w:szCs w:val="28"/>
        </w:rPr>
        <w:t>3</w:t>
      </w:r>
      <w:r w:rsidR="00BB79B2" w:rsidRPr="004D2F23">
        <w:rPr>
          <w:rFonts w:ascii="Times New Roman" w:hAnsi="Times New Roman" w:cs="Times New Roman"/>
          <w:b/>
          <w:sz w:val="28"/>
          <w:szCs w:val="28"/>
        </w:rPr>
        <w:t>. Ngân hàng bắc cầu (Bridge Bank – BB):</w:t>
      </w:r>
    </w:p>
    <w:p w14:paraId="03ECC318" w14:textId="77777777" w:rsidR="00BB79B2" w:rsidRPr="004D2F23" w:rsidRDefault="00BB79B2" w:rsidP="00BB79B2">
      <w:pPr>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Trong một số trường hợp, nguồn lực BHTG cũng có thể được sử dụng để tài trợ cho giao dịch BB nếu khuôn khổ pháp lý cho phép. </w:t>
      </w:r>
      <w:r w:rsidR="00B739FF" w:rsidRPr="004D2F23">
        <w:rPr>
          <w:rFonts w:ascii="Times New Roman" w:hAnsi="Times New Roman" w:cs="Times New Roman"/>
          <w:sz w:val="28"/>
          <w:szCs w:val="28"/>
        </w:rPr>
        <w:t xml:space="preserve">BB được sử dụng khi </w:t>
      </w:r>
      <w:r w:rsidRPr="004D2F23">
        <w:rPr>
          <w:rFonts w:ascii="Times New Roman" w:hAnsi="Times New Roman" w:cs="Times New Roman"/>
          <w:sz w:val="28"/>
          <w:szCs w:val="28"/>
        </w:rPr>
        <w:t xml:space="preserve">không có </w:t>
      </w:r>
      <w:r w:rsidR="00B739FF" w:rsidRPr="004D2F23">
        <w:rPr>
          <w:rFonts w:ascii="Times New Roman" w:hAnsi="Times New Roman" w:cs="Times New Roman"/>
          <w:sz w:val="28"/>
          <w:szCs w:val="28"/>
        </w:rPr>
        <w:t>bên</w:t>
      </w:r>
      <w:r w:rsidRPr="004D2F23">
        <w:rPr>
          <w:rFonts w:ascii="Times New Roman" w:hAnsi="Times New Roman" w:cs="Times New Roman"/>
          <w:sz w:val="28"/>
          <w:szCs w:val="28"/>
        </w:rPr>
        <w:t xml:space="preserve"> mua ngay lập tức cho giao dị</w:t>
      </w:r>
      <w:r w:rsidR="00B739FF" w:rsidRPr="004D2F23">
        <w:rPr>
          <w:rFonts w:ascii="Times New Roman" w:hAnsi="Times New Roman" w:cs="Times New Roman"/>
          <w:sz w:val="28"/>
          <w:szCs w:val="28"/>
        </w:rPr>
        <w:t xml:space="preserve">ch P&amp;A; khi đó, </w:t>
      </w:r>
      <w:r w:rsidRPr="004D2F23">
        <w:rPr>
          <w:rFonts w:ascii="Times New Roman" w:hAnsi="Times New Roman" w:cs="Times New Roman"/>
          <w:sz w:val="28"/>
          <w:szCs w:val="28"/>
        </w:rPr>
        <w:t>tiền gửi và các khoản nợ phải trả được bảo đảm bằng tài sản, có thể được chuyển cho một thực thể tạm thờ</w:t>
      </w:r>
      <w:r w:rsidR="00B739FF" w:rsidRPr="004D2F23">
        <w:rPr>
          <w:rFonts w:ascii="Times New Roman" w:hAnsi="Times New Roman" w:cs="Times New Roman"/>
          <w:sz w:val="28"/>
          <w:szCs w:val="28"/>
        </w:rPr>
        <w:t>i là ngân hàng bắc cầu. Đ</w:t>
      </w:r>
      <w:r w:rsidRPr="004D2F23">
        <w:rPr>
          <w:rFonts w:ascii="Times New Roman" w:hAnsi="Times New Roman" w:cs="Times New Roman"/>
          <w:sz w:val="28"/>
          <w:szCs w:val="28"/>
        </w:rPr>
        <w:t xml:space="preserve">iều này </w:t>
      </w:r>
      <w:r w:rsidR="00B739FF" w:rsidRPr="004D2F23">
        <w:rPr>
          <w:rFonts w:ascii="Times New Roman" w:hAnsi="Times New Roman" w:cs="Times New Roman"/>
          <w:sz w:val="28"/>
          <w:szCs w:val="28"/>
        </w:rPr>
        <w:t>bảo đảm người gửi tiền được tiếp tục tiếp cận khoản</w:t>
      </w:r>
      <w:r w:rsidRPr="004D2F23">
        <w:rPr>
          <w:rFonts w:ascii="Times New Roman" w:hAnsi="Times New Roman" w:cs="Times New Roman"/>
          <w:sz w:val="28"/>
          <w:szCs w:val="28"/>
        </w:rPr>
        <w:t xml:space="preserve"> tiền gửi cho đến khi tìm được người mua, </w:t>
      </w:r>
      <w:r w:rsidR="00B739FF" w:rsidRPr="004D2F23">
        <w:rPr>
          <w:rFonts w:ascii="Times New Roman" w:hAnsi="Times New Roman" w:cs="Times New Roman"/>
          <w:sz w:val="28"/>
          <w:szCs w:val="28"/>
        </w:rPr>
        <w:t>BHTG</w:t>
      </w:r>
      <w:r w:rsidRPr="004D2F23">
        <w:rPr>
          <w:rFonts w:ascii="Times New Roman" w:hAnsi="Times New Roman" w:cs="Times New Roman"/>
          <w:sz w:val="28"/>
          <w:szCs w:val="28"/>
        </w:rPr>
        <w:t xml:space="preserve"> có thể hoàn thành mục tiêu bảo vệ người gửi tiền của mình bằng cách cung cấp tiền để bù đắp khoản thiếu hụt giữa tài sản và nợ phải trả </w:t>
      </w:r>
      <w:r w:rsidR="00B739FF" w:rsidRPr="004D2F23">
        <w:rPr>
          <w:rFonts w:ascii="Times New Roman" w:hAnsi="Times New Roman" w:cs="Times New Roman"/>
          <w:sz w:val="28"/>
          <w:szCs w:val="28"/>
        </w:rPr>
        <w:t>để thực hiện</w:t>
      </w:r>
      <w:r w:rsidRPr="004D2F23">
        <w:rPr>
          <w:rFonts w:ascii="Times New Roman" w:hAnsi="Times New Roman" w:cs="Times New Roman"/>
          <w:sz w:val="28"/>
          <w:szCs w:val="28"/>
        </w:rPr>
        <w:t xml:space="preserve"> chuyển nhượng.</w:t>
      </w:r>
    </w:p>
    <w:p w14:paraId="2D052E5C" w14:textId="77777777" w:rsidR="00B739FF" w:rsidRPr="004D2F23" w:rsidRDefault="00B739FF" w:rsidP="00BB79B2">
      <w:pPr>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Thực tế, ít BHTG có khả năng tài trợ cho giao dịch BB hơn là tài trợ cho P&amp;A. Trong số 21 tổ chức BHTG có khả năng tài trợ cho các giao dịch BB, 20 có thể chi trả cho việc chuyển tiền gửi được bảo hiểm, 10 có thể tài trợ cho việc chuyển tất cả các khoản tiền gửi và chỉ có </w:t>
      </w:r>
      <w:r w:rsidR="008E5934" w:rsidRPr="004D2F23">
        <w:rPr>
          <w:rFonts w:ascii="Times New Roman" w:hAnsi="Times New Roman" w:cs="Times New Roman"/>
          <w:sz w:val="28"/>
          <w:szCs w:val="28"/>
        </w:rPr>
        <w:t xml:space="preserve">8 </w:t>
      </w:r>
      <w:r w:rsidRPr="004D2F23">
        <w:rPr>
          <w:rFonts w:ascii="Times New Roman" w:hAnsi="Times New Roman" w:cs="Times New Roman"/>
          <w:sz w:val="28"/>
          <w:szCs w:val="28"/>
        </w:rPr>
        <w:t>có thể hỗ trợ việc chuyển tất cả các khoản nợ phải trả</w:t>
      </w:r>
      <w:r w:rsidR="008E5934" w:rsidRPr="004D2F23">
        <w:rPr>
          <w:rFonts w:ascii="Times New Roman" w:hAnsi="Times New Roman" w:cs="Times New Roman"/>
          <w:sz w:val="28"/>
          <w:szCs w:val="28"/>
        </w:rPr>
        <w:t>. Việc hỗ trợ có thể có nhiều hình thức khác nhau, chẳng hạn như các khoản tài trợ tiền tệ cho ngân hàng bắc cầu, mua tài sản từ ngân hàng bắc cầu và tăng vốn trong ngân hàng bắc cầu. Giống như trong giao dịch P&amp;A, tính khả thi của giao dịch BB bị ảnh hưởng bởi các ràng buộc, chẳng hạn như chi phí của các tùy chọn thanh lý thay thế và quyền hạn của BHTG.</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0"/>
        <w:gridCol w:w="1290"/>
        <w:gridCol w:w="1290"/>
        <w:gridCol w:w="1290"/>
        <w:gridCol w:w="46"/>
        <w:gridCol w:w="1244"/>
        <w:gridCol w:w="32"/>
        <w:gridCol w:w="1985"/>
        <w:gridCol w:w="1417"/>
      </w:tblGrid>
      <w:tr w:rsidR="004D2F23" w:rsidRPr="004D2F23" w14:paraId="6522BAD7" w14:textId="77777777" w:rsidTr="007E57F8">
        <w:trPr>
          <w:trHeight w:val="188"/>
        </w:trPr>
        <w:tc>
          <w:tcPr>
            <w:tcW w:w="9884" w:type="dxa"/>
            <w:gridSpan w:val="9"/>
          </w:tcPr>
          <w:p w14:paraId="3AD05391" w14:textId="77777777" w:rsidR="00621B44" w:rsidRPr="004D2F23" w:rsidRDefault="001943B5" w:rsidP="00621B44">
            <w:pPr>
              <w:autoSpaceDE w:val="0"/>
              <w:autoSpaceDN w:val="0"/>
              <w:adjustRightInd w:val="0"/>
              <w:spacing w:after="0" w:line="240" w:lineRule="auto"/>
              <w:jc w:val="center"/>
              <w:rPr>
                <w:rFonts w:ascii="Times New Roman" w:hAnsi="Times New Roman" w:cs="Times New Roman"/>
                <w:b/>
                <w:sz w:val="28"/>
                <w:szCs w:val="28"/>
              </w:rPr>
            </w:pPr>
            <w:r w:rsidRPr="004D2F23">
              <w:rPr>
                <w:rFonts w:ascii="Times New Roman" w:hAnsi="Times New Roman" w:cs="Times New Roman"/>
                <w:b/>
                <w:sz w:val="28"/>
                <w:szCs w:val="28"/>
              </w:rPr>
              <w:t>NGÂN HÀNG BẮC CẦU</w:t>
            </w:r>
          </w:p>
        </w:tc>
      </w:tr>
      <w:tr w:rsidR="004D2F23" w:rsidRPr="004D2F23" w14:paraId="01F9FD75" w14:textId="77777777" w:rsidTr="007E57F8">
        <w:trPr>
          <w:trHeight w:val="258"/>
        </w:trPr>
        <w:tc>
          <w:tcPr>
            <w:tcW w:w="5206" w:type="dxa"/>
            <w:gridSpan w:val="5"/>
          </w:tcPr>
          <w:p w14:paraId="0066A9CB" w14:textId="77777777" w:rsidR="008E5934" w:rsidRPr="004D2F23" w:rsidRDefault="007E57F8" w:rsidP="007E57F8">
            <w:pPr>
              <w:autoSpaceDE w:val="0"/>
              <w:autoSpaceDN w:val="0"/>
              <w:adjustRightInd w:val="0"/>
              <w:spacing w:after="0" w:line="240" w:lineRule="auto"/>
              <w:jc w:val="center"/>
              <w:rPr>
                <w:rFonts w:ascii="Times New Roman" w:hAnsi="Times New Roman" w:cs="Times New Roman"/>
                <w:b/>
                <w:sz w:val="28"/>
                <w:szCs w:val="28"/>
              </w:rPr>
            </w:pPr>
            <w:r w:rsidRPr="004D2F23">
              <w:rPr>
                <w:rFonts w:ascii="Times New Roman" w:hAnsi="Times New Roman" w:cs="Times New Roman"/>
                <w:b/>
                <w:sz w:val="28"/>
                <w:szCs w:val="28"/>
              </w:rPr>
              <w:t>Các loại nghĩa vụ</w:t>
            </w:r>
          </w:p>
        </w:tc>
        <w:tc>
          <w:tcPr>
            <w:tcW w:w="1276" w:type="dxa"/>
            <w:gridSpan w:val="2"/>
          </w:tcPr>
          <w:p w14:paraId="7D8C827F" w14:textId="77777777" w:rsidR="008E5934" w:rsidRPr="004D2F23" w:rsidRDefault="007E57F8" w:rsidP="008E5934">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Hỗ trợ về vốn</w:t>
            </w:r>
            <w:r w:rsidR="008E5934" w:rsidRPr="004D2F23">
              <w:rPr>
                <w:rFonts w:ascii="Times New Roman" w:hAnsi="Times New Roman" w:cs="Times New Roman"/>
                <w:b/>
                <w:sz w:val="28"/>
                <w:szCs w:val="28"/>
              </w:rPr>
              <w:t xml:space="preserve"> </w:t>
            </w:r>
          </w:p>
        </w:tc>
        <w:tc>
          <w:tcPr>
            <w:tcW w:w="3402" w:type="dxa"/>
            <w:gridSpan w:val="2"/>
          </w:tcPr>
          <w:p w14:paraId="1277335C" w14:textId="77777777" w:rsidR="008E5934" w:rsidRPr="004D2F23" w:rsidRDefault="007E57F8" w:rsidP="008E5934">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Các nguồn hỗ trợ bổ sung khác</w:t>
            </w:r>
            <w:r w:rsidR="008E5934" w:rsidRPr="004D2F23">
              <w:rPr>
                <w:rFonts w:ascii="Times New Roman" w:hAnsi="Times New Roman" w:cs="Times New Roman"/>
                <w:b/>
                <w:sz w:val="28"/>
                <w:szCs w:val="28"/>
              </w:rPr>
              <w:t xml:space="preserve"> </w:t>
            </w:r>
          </w:p>
        </w:tc>
      </w:tr>
      <w:tr w:rsidR="004D2F23" w:rsidRPr="004D2F23" w14:paraId="77F451BC" w14:textId="77777777" w:rsidTr="007E57F8">
        <w:trPr>
          <w:trHeight w:val="258"/>
        </w:trPr>
        <w:tc>
          <w:tcPr>
            <w:tcW w:w="1290" w:type="dxa"/>
          </w:tcPr>
          <w:p w14:paraId="6E7D2B59" w14:textId="77777777" w:rsidR="007E57F8" w:rsidRPr="004D2F23" w:rsidRDefault="007E57F8" w:rsidP="007E57F8">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Quốc gia (tổ chức BHTG) </w:t>
            </w:r>
          </w:p>
        </w:tc>
        <w:tc>
          <w:tcPr>
            <w:tcW w:w="1290" w:type="dxa"/>
          </w:tcPr>
          <w:p w14:paraId="52F4D7DD" w14:textId="77777777" w:rsidR="007E57F8" w:rsidRPr="004D2F23" w:rsidRDefault="007E57F8" w:rsidP="007E57F8">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Tiền gửi được bảo hiểm </w:t>
            </w:r>
          </w:p>
        </w:tc>
        <w:tc>
          <w:tcPr>
            <w:tcW w:w="1290" w:type="dxa"/>
          </w:tcPr>
          <w:p w14:paraId="160A24A9" w14:textId="77777777" w:rsidR="007E57F8" w:rsidRPr="004D2F23" w:rsidRDefault="007E57F8" w:rsidP="007E57F8">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Tiền gửi không được </w:t>
            </w:r>
            <w:r w:rsidRPr="004D2F23">
              <w:rPr>
                <w:rFonts w:ascii="Times New Roman" w:hAnsi="Times New Roman" w:cs="Times New Roman"/>
                <w:b/>
                <w:sz w:val="28"/>
                <w:szCs w:val="28"/>
              </w:rPr>
              <w:lastRenderedPageBreak/>
              <w:t xml:space="preserve">bảo hiểm </w:t>
            </w:r>
          </w:p>
        </w:tc>
        <w:tc>
          <w:tcPr>
            <w:tcW w:w="1290" w:type="dxa"/>
          </w:tcPr>
          <w:p w14:paraId="1E2D2609" w14:textId="77777777" w:rsidR="007E57F8" w:rsidRPr="004D2F23" w:rsidRDefault="007E57F8" w:rsidP="007E57F8">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lastRenderedPageBreak/>
              <w:t xml:space="preserve">Các khoản phải trả khác </w:t>
            </w:r>
          </w:p>
        </w:tc>
        <w:tc>
          <w:tcPr>
            <w:tcW w:w="1290" w:type="dxa"/>
            <w:gridSpan w:val="2"/>
          </w:tcPr>
          <w:p w14:paraId="4518FB6A" w14:textId="77777777" w:rsidR="007E57F8" w:rsidRPr="004D2F23" w:rsidRDefault="007E57F8" w:rsidP="007E57F8">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Yes/No </w:t>
            </w:r>
          </w:p>
        </w:tc>
        <w:tc>
          <w:tcPr>
            <w:tcW w:w="2017" w:type="dxa"/>
            <w:gridSpan w:val="2"/>
          </w:tcPr>
          <w:p w14:paraId="6A71EAAC" w14:textId="77777777" w:rsidR="007E57F8" w:rsidRPr="004D2F23" w:rsidRDefault="007E57F8" w:rsidP="007E57F8">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t xml:space="preserve">Nguồn vốn dự phòng từ khu vực công (Public </w:t>
            </w:r>
            <w:r w:rsidRPr="004D2F23">
              <w:rPr>
                <w:rFonts w:ascii="Times New Roman" w:hAnsi="Times New Roman" w:cs="Times New Roman"/>
                <w:b/>
                <w:sz w:val="28"/>
                <w:szCs w:val="28"/>
              </w:rPr>
              <w:lastRenderedPageBreak/>
              <w:t xml:space="preserve">backup funding) </w:t>
            </w:r>
          </w:p>
        </w:tc>
        <w:tc>
          <w:tcPr>
            <w:tcW w:w="1417" w:type="dxa"/>
          </w:tcPr>
          <w:p w14:paraId="2F44A82B" w14:textId="77777777" w:rsidR="007E57F8" w:rsidRPr="004D2F23" w:rsidRDefault="007E57F8" w:rsidP="007E57F8">
            <w:pPr>
              <w:autoSpaceDE w:val="0"/>
              <w:autoSpaceDN w:val="0"/>
              <w:adjustRightInd w:val="0"/>
              <w:spacing w:after="0" w:line="240" w:lineRule="auto"/>
              <w:rPr>
                <w:rFonts w:ascii="Times New Roman" w:hAnsi="Times New Roman" w:cs="Times New Roman"/>
                <w:b/>
                <w:sz w:val="28"/>
                <w:szCs w:val="28"/>
              </w:rPr>
            </w:pPr>
            <w:r w:rsidRPr="004D2F23">
              <w:rPr>
                <w:rFonts w:ascii="Times New Roman" w:hAnsi="Times New Roman" w:cs="Times New Roman"/>
                <w:b/>
                <w:sz w:val="28"/>
                <w:szCs w:val="28"/>
              </w:rPr>
              <w:lastRenderedPageBreak/>
              <w:t>Vay (Private borrowing)</w:t>
            </w:r>
          </w:p>
        </w:tc>
      </w:tr>
      <w:tr w:rsidR="004D2F23" w:rsidRPr="004D2F23" w14:paraId="5490791B" w14:textId="77777777" w:rsidTr="007E57F8">
        <w:trPr>
          <w:trHeight w:val="145"/>
        </w:trPr>
        <w:tc>
          <w:tcPr>
            <w:tcW w:w="1290" w:type="dxa"/>
          </w:tcPr>
          <w:p w14:paraId="72F08A83"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lastRenderedPageBreak/>
              <w:t xml:space="preserve">Australia (FCS) </w:t>
            </w:r>
          </w:p>
        </w:tc>
        <w:tc>
          <w:tcPr>
            <w:tcW w:w="1290" w:type="dxa"/>
          </w:tcPr>
          <w:p w14:paraId="10FEAF1D"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1590B831"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6BF6DC4E"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786E987D"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45DCF2DD"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485DE113"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3B938FA5" w14:textId="77777777" w:rsidTr="007E57F8">
        <w:trPr>
          <w:trHeight w:val="158"/>
        </w:trPr>
        <w:tc>
          <w:tcPr>
            <w:tcW w:w="1290" w:type="dxa"/>
          </w:tcPr>
          <w:p w14:paraId="4582ED88"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Canada (CDIC) </w:t>
            </w:r>
          </w:p>
        </w:tc>
        <w:tc>
          <w:tcPr>
            <w:tcW w:w="1290" w:type="dxa"/>
          </w:tcPr>
          <w:p w14:paraId="4ADF4363"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722903A7"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2A7E23F1"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44359B35"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5790251B"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4FEC6961"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3EE299E6" w14:textId="77777777" w:rsidTr="007E57F8">
        <w:trPr>
          <w:trHeight w:val="145"/>
        </w:trPr>
        <w:tc>
          <w:tcPr>
            <w:tcW w:w="1290" w:type="dxa"/>
          </w:tcPr>
          <w:p w14:paraId="26FA8BE1"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Colombia (Fogafín) </w:t>
            </w:r>
          </w:p>
        </w:tc>
        <w:tc>
          <w:tcPr>
            <w:tcW w:w="1290" w:type="dxa"/>
          </w:tcPr>
          <w:p w14:paraId="74D4EF88"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27F62879"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297B6B5F"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7ED2E4F0"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7BA5CBB0"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22840C8F"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0C19B927" w14:textId="77777777" w:rsidTr="007E57F8">
        <w:trPr>
          <w:trHeight w:val="158"/>
        </w:trPr>
        <w:tc>
          <w:tcPr>
            <w:tcW w:w="1290" w:type="dxa"/>
          </w:tcPr>
          <w:p w14:paraId="1636DF21"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Finland (DGF) </w:t>
            </w:r>
          </w:p>
        </w:tc>
        <w:tc>
          <w:tcPr>
            <w:tcW w:w="1290" w:type="dxa"/>
          </w:tcPr>
          <w:p w14:paraId="521AAEE8"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64B4E3C7"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0A933FE8"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4E076F5D"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0E481296"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7DFDC920"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5091FE90" w14:textId="77777777" w:rsidTr="007E57F8">
        <w:trPr>
          <w:trHeight w:val="145"/>
        </w:trPr>
        <w:tc>
          <w:tcPr>
            <w:tcW w:w="1290" w:type="dxa"/>
          </w:tcPr>
          <w:p w14:paraId="51E0CFA1"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Germany (DPFB) </w:t>
            </w:r>
          </w:p>
        </w:tc>
        <w:tc>
          <w:tcPr>
            <w:tcW w:w="1290" w:type="dxa"/>
          </w:tcPr>
          <w:p w14:paraId="388A31C0"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28A3598F"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1DAF8F61"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731C3A34"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1CF1BF0D"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013B0741"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66ED2DD9" w14:textId="77777777" w:rsidTr="007E57F8">
        <w:trPr>
          <w:trHeight w:val="158"/>
        </w:trPr>
        <w:tc>
          <w:tcPr>
            <w:tcW w:w="1290" w:type="dxa"/>
          </w:tcPr>
          <w:p w14:paraId="0BDFABC4"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Honduras (FOSEDE) </w:t>
            </w:r>
          </w:p>
        </w:tc>
        <w:tc>
          <w:tcPr>
            <w:tcW w:w="1290" w:type="dxa"/>
          </w:tcPr>
          <w:p w14:paraId="1ECD27CA"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3F7C42F4"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1D216AED"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260FC93C"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46A7D30C"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2F583B71"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1A0701E9" w14:textId="77777777" w:rsidTr="007E57F8">
        <w:trPr>
          <w:trHeight w:val="145"/>
        </w:trPr>
        <w:tc>
          <w:tcPr>
            <w:tcW w:w="1290" w:type="dxa"/>
          </w:tcPr>
          <w:p w14:paraId="3404C8D5"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Indonesia (IDIC) </w:t>
            </w:r>
          </w:p>
        </w:tc>
        <w:tc>
          <w:tcPr>
            <w:tcW w:w="1290" w:type="dxa"/>
          </w:tcPr>
          <w:p w14:paraId="3699558B"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337377E2"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6FCAF064"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57751D9E"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42FE28D0"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2B709B6A"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7943E4DE" w14:textId="77777777" w:rsidTr="007E57F8">
        <w:trPr>
          <w:trHeight w:val="158"/>
        </w:trPr>
        <w:tc>
          <w:tcPr>
            <w:tcW w:w="1290" w:type="dxa"/>
          </w:tcPr>
          <w:p w14:paraId="19E0F74D"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Italy (FITD) </w:t>
            </w:r>
          </w:p>
        </w:tc>
        <w:tc>
          <w:tcPr>
            <w:tcW w:w="1290" w:type="dxa"/>
          </w:tcPr>
          <w:p w14:paraId="667C0C87"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3FF982CA"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621B60DD"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4F5FE430"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2CC1E07A"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24CD7666"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08C22443" w14:textId="77777777" w:rsidTr="007E57F8">
        <w:trPr>
          <w:trHeight w:val="145"/>
        </w:trPr>
        <w:tc>
          <w:tcPr>
            <w:tcW w:w="1290" w:type="dxa"/>
          </w:tcPr>
          <w:p w14:paraId="3CB0133B"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Jamaica (JDIC) </w:t>
            </w:r>
          </w:p>
        </w:tc>
        <w:tc>
          <w:tcPr>
            <w:tcW w:w="1290" w:type="dxa"/>
          </w:tcPr>
          <w:p w14:paraId="49DE9E91"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7C75FC3C"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555A88A6"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0D393614"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66DC54B6"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2DAAB3D8"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0E163018" w14:textId="77777777" w:rsidTr="007E57F8">
        <w:trPr>
          <w:trHeight w:val="158"/>
        </w:trPr>
        <w:tc>
          <w:tcPr>
            <w:tcW w:w="1290" w:type="dxa"/>
          </w:tcPr>
          <w:p w14:paraId="1AF5DA0F"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Japan (DICJ) </w:t>
            </w:r>
          </w:p>
        </w:tc>
        <w:tc>
          <w:tcPr>
            <w:tcW w:w="1290" w:type="dxa"/>
          </w:tcPr>
          <w:p w14:paraId="64BB425F"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7EEE16F1"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0EF312FD"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1E2C3BEB"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22036F34"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78CDE6A5"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1A4E3698" w14:textId="77777777" w:rsidTr="007E57F8">
        <w:trPr>
          <w:trHeight w:val="145"/>
        </w:trPr>
        <w:tc>
          <w:tcPr>
            <w:tcW w:w="1290" w:type="dxa"/>
          </w:tcPr>
          <w:p w14:paraId="043FCEA1"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Korea (KDIC) </w:t>
            </w:r>
          </w:p>
        </w:tc>
        <w:tc>
          <w:tcPr>
            <w:tcW w:w="1290" w:type="dxa"/>
          </w:tcPr>
          <w:p w14:paraId="1EE6BC06"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14C7FB3D"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56FE0A75"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6AE4064A"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48D23247"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42DFAF20"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28CE15B0" w14:textId="77777777" w:rsidTr="007E57F8">
        <w:trPr>
          <w:trHeight w:val="158"/>
        </w:trPr>
        <w:tc>
          <w:tcPr>
            <w:tcW w:w="1290" w:type="dxa"/>
          </w:tcPr>
          <w:p w14:paraId="45912223"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Nigeria (NDIC) </w:t>
            </w:r>
          </w:p>
        </w:tc>
        <w:tc>
          <w:tcPr>
            <w:tcW w:w="1290" w:type="dxa"/>
          </w:tcPr>
          <w:p w14:paraId="6BD7660A"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417278DB"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5F9340B3"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2F25F662"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5E69E1E5"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1F0BF54C"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7A03C0BA" w14:textId="77777777" w:rsidTr="007E57F8">
        <w:trPr>
          <w:trHeight w:val="145"/>
        </w:trPr>
        <w:tc>
          <w:tcPr>
            <w:tcW w:w="1290" w:type="dxa"/>
          </w:tcPr>
          <w:p w14:paraId="0522D9CE"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Mexico (IPAB) </w:t>
            </w:r>
          </w:p>
        </w:tc>
        <w:tc>
          <w:tcPr>
            <w:tcW w:w="1290" w:type="dxa"/>
          </w:tcPr>
          <w:p w14:paraId="250A77A6"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1D9CDD8B"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25EBE6DA"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66040C5D"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445B3D74"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7B5153AB"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620FD966" w14:textId="77777777" w:rsidTr="007E57F8">
        <w:trPr>
          <w:trHeight w:val="157"/>
        </w:trPr>
        <w:tc>
          <w:tcPr>
            <w:tcW w:w="1290" w:type="dxa"/>
          </w:tcPr>
          <w:p w14:paraId="7D059847"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Mongolia (DICoM) </w:t>
            </w:r>
          </w:p>
        </w:tc>
        <w:tc>
          <w:tcPr>
            <w:tcW w:w="1290" w:type="dxa"/>
          </w:tcPr>
          <w:p w14:paraId="5AAFCD9C"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256FB037"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48C7FFF4"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3BB3028A"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5D754C3C"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77FA8D68"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24AD56CF" w14:textId="77777777" w:rsidTr="007E57F8">
        <w:trPr>
          <w:trHeight w:val="145"/>
        </w:trPr>
        <w:tc>
          <w:tcPr>
            <w:tcW w:w="1290" w:type="dxa"/>
          </w:tcPr>
          <w:p w14:paraId="1513F93F"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Morocco (SGFG) </w:t>
            </w:r>
          </w:p>
        </w:tc>
        <w:tc>
          <w:tcPr>
            <w:tcW w:w="1290" w:type="dxa"/>
          </w:tcPr>
          <w:p w14:paraId="3A4D9B89"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4E54B2B5"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22589EBA"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3CCDF84C"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44BB5453"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619ED063"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04DB48FE" w14:textId="77777777" w:rsidTr="007E57F8">
        <w:trPr>
          <w:trHeight w:val="157"/>
        </w:trPr>
        <w:tc>
          <w:tcPr>
            <w:tcW w:w="1290" w:type="dxa"/>
          </w:tcPr>
          <w:p w14:paraId="28E80BCE"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Norway (NBGF) </w:t>
            </w:r>
          </w:p>
        </w:tc>
        <w:tc>
          <w:tcPr>
            <w:tcW w:w="1290" w:type="dxa"/>
          </w:tcPr>
          <w:p w14:paraId="6919B80C"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1AB698E0"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6A138E28"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0B418AFF"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6C7E12C7"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3BA35AB3"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764BBB59" w14:textId="77777777" w:rsidTr="007E57F8">
        <w:trPr>
          <w:trHeight w:val="145"/>
        </w:trPr>
        <w:tc>
          <w:tcPr>
            <w:tcW w:w="1290" w:type="dxa"/>
          </w:tcPr>
          <w:p w14:paraId="6B8BE215"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Poland (BFG) </w:t>
            </w:r>
          </w:p>
        </w:tc>
        <w:tc>
          <w:tcPr>
            <w:tcW w:w="1290" w:type="dxa"/>
          </w:tcPr>
          <w:p w14:paraId="706D271A"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26820ACE"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65E54C23"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28A6C99C"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219138EB"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5B4161A4"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61A11806" w14:textId="77777777" w:rsidTr="007E57F8">
        <w:trPr>
          <w:trHeight w:val="157"/>
        </w:trPr>
        <w:tc>
          <w:tcPr>
            <w:tcW w:w="1290" w:type="dxa"/>
          </w:tcPr>
          <w:p w14:paraId="525F3F51"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Serbia (AOD) </w:t>
            </w:r>
          </w:p>
        </w:tc>
        <w:tc>
          <w:tcPr>
            <w:tcW w:w="1290" w:type="dxa"/>
          </w:tcPr>
          <w:p w14:paraId="2B0CD52D"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265AF584"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0A899E73"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5C905EEB"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29963F9B"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0412D5CF"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59363CF2" w14:textId="77777777" w:rsidTr="007E57F8">
        <w:trPr>
          <w:trHeight w:val="145"/>
        </w:trPr>
        <w:tc>
          <w:tcPr>
            <w:tcW w:w="1290" w:type="dxa"/>
          </w:tcPr>
          <w:p w14:paraId="7C23965C"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Singapore (SDIC) </w:t>
            </w:r>
          </w:p>
        </w:tc>
        <w:tc>
          <w:tcPr>
            <w:tcW w:w="1290" w:type="dxa"/>
          </w:tcPr>
          <w:p w14:paraId="7C4C551C"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1769FF99"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587F3DC3"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24714FFD"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2A1650D6"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3527F6DD"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3917325A" w14:textId="77777777" w:rsidTr="007E57F8">
        <w:trPr>
          <w:trHeight w:val="157"/>
        </w:trPr>
        <w:tc>
          <w:tcPr>
            <w:tcW w:w="1290" w:type="dxa"/>
          </w:tcPr>
          <w:p w14:paraId="10CD06C1"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t xml:space="preserve">UK (FSCS) </w:t>
            </w:r>
          </w:p>
        </w:tc>
        <w:tc>
          <w:tcPr>
            <w:tcW w:w="1290" w:type="dxa"/>
          </w:tcPr>
          <w:p w14:paraId="2488D0BD"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2FBCA619"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733CD2D6"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7F716010"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3B7F3D79"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1B6627F2"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1EF16226" w14:textId="77777777" w:rsidTr="007E57F8">
        <w:trPr>
          <w:trHeight w:val="145"/>
        </w:trPr>
        <w:tc>
          <w:tcPr>
            <w:tcW w:w="1290" w:type="dxa"/>
          </w:tcPr>
          <w:p w14:paraId="49F36C74" w14:textId="77777777" w:rsidR="008E5934" w:rsidRPr="004D2F23" w:rsidRDefault="008E5934" w:rsidP="008E5934">
            <w:pPr>
              <w:autoSpaceDE w:val="0"/>
              <w:autoSpaceDN w:val="0"/>
              <w:adjustRightInd w:val="0"/>
              <w:spacing w:after="0" w:line="240" w:lineRule="auto"/>
              <w:rPr>
                <w:rFonts w:ascii="Segoe UI" w:hAnsi="Segoe UI" w:cs="Segoe UI"/>
                <w:sz w:val="24"/>
                <w:szCs w:val="24"/>
              </w:rPr>
            </w:pPr>
            <w:r w:rsidRPr="004D2F23">
              <w:rPr>
                <w:rFonts w:ascii="Segoe UI" w:hAnsi="Segoe UI" w:cs="Segoe UI"/>
                <w:sz w:val="24"/>
                <w:szCs w:val="24"/>
              </w:rPr>
              <w:lastRenderedPageBreak/>
              <w:t xml:space="preserve">US (FDIC)* </w:t>
            </w:r>
          </w:p>
        </w:tc>
        <w:tc>
          <w:tcPr>
            <w:tcW w:w="1290" w:type="dxa"/>
          </w:tcPr>
          <w:p w14:paraId="1A947C1A"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4D69C2BE"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tcPr>
          <w:p w14:paraId="6D60CFEF"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290" w:type="dxa"/>
            <w:gridSpan w:val="2"/>
          </w:tcPr>
          <w:p w14:paraId="3615E6A8"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2017" w:type="dxa"/>
            <w:gridSpan w:val="2"/>
          </w:tcPr>
          <w:p w14:paraId="013E84FD"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c>
          <w:tcPr>
            <w:tcW w:w="1417" w:type="dxa"/>
          </w:tcPr>
          <w:p w14:paraId="56809C19" w14:textId="77777777" w:rsidR="008E5934" w:rsidRPr="004D2F23" w:rsidRDefault="008E5934" w:rsidP="008E5934">
            <w:pPr>
              <w:autoSpaceDE w:val="0"/>
              <w:autoSpaceDN w:val="0"/>
              <w:adjustRightInd w:val="0"/>
              <w:spacing w:after="0" w:line="240" w:lineRule="auto"/>
              <w:rPr>
                <w:rFonts w:ascii="Wingdings" w:hAnsi="Wingdings" w:cs="Wingdings"/>
                <w:sz w:val="28"/>
                <w:szCs w:val="28"/>
              </w:rPr>
            </w:pPr>
            <w:r w:rsidRPr="004D2F23">
              <w:rPr>
                <w:rFonts w:ascii="Wingdings" w:hAnsi="Wingdings" w:cs="Wingdings"/>
                <w:sz w:val="28"/>
                <w:szCs w:val="28"/>
              </w:rPr>
              <w:t></w:t>
            </w:r>
            <w:r w:rsidRPr="004D2F23">
              <w:rPr>
                <w:rFonts w:ascii="Wingdings" w:hAnsi="Wingdings" w:cs="Wingdings"/>
                <w:sz w:val="28"/>
                <w:szCs w:val="28"/>
              </w:rPr>
              <w:t></w:t>
            </w:r>
          </w:p>
        </w:tc>
      </w:tr>
      <w:tr w:rsidR="004D2F23" w:rsidRPr="004D2F23" w14:paraId="3B976C8F" w14:textId="77777777" w:rsidTr="007E57F8">
        <w:trPr>
          <w:trHeight w:val="648"/>
        </w:trPr>
        <w:tc>
          <w:tcPr>
            <w:tcW w:w="9884" w:type="dxa"/>
            <w:gridSpan w:val="9"/>
          </w:tcPr>
          <w:p w14:paraId="2D4EFC6F" w14:textId="77777777" w:rsidR="008E5934" w:rsidRPr="004D2F23" w:rsidRDefault="007E57F8" w:rsidP="008E5934">
            <w:pPr>
              <w:autoSpaceDE w:val="0"/>
              <w:autoSpaceDN w:val="0"/>
              <w:adjustRightInd w:val="0"/>
              <w:spacing w:after="0" w:line="240" w:lineRule="auto"/>
              <w:rPr>
                <w:rFonts w:ascii="Times New Roman" w:hAnsi="Times New Roman" w:cs="Times New Roman"/>
                <w:sz w:val="28"/>
                <w:szCs w:val="28"/>
              </w:rPr>
            </w:pPr>
            <w:r w:rsidRPr="004D2F23">
              <w:rPr>
                <w:rFonts w:ascii="Times New Roman" w:hAnsi="Times New Roman" w:cs="Times New Roman"/>
                <w:sz w:val="28"/>
                <w:szCs w:val="28"/>
              </w:rPr>
              <w:t>Các tổ chức BHTG sau đây không thể tài trợ cho BB</w:t>
            </w:r>
            <w:r w:rsidR="008E5934" w:rsidRPr="004D2F23">
              <w:rPr>
                <w:rFonts w:ascii="Times New Roman" w:hAnsi="Times New Roman" w:cs="Times New Roman"/>
                <w:sz w:val="28"/>
                <w:szCs w:val="28"/>
              </w:rPr>
              <w:t xml:space="preserve">: DIC-BS (Bahamas), BDIC (Barbados), FGC (Brazil), COSEDE (Ecuador), BVR (Germany), FGDSB (Moldova), ASV (Russia), FGD (Spain), SLDIS (Sri Lanka), SDIF (Turkey), COPAB (Uruguay). </w:t>
            </w:r>
          </w:p>
          <w:p w14:paraId="4A3703BE" w14:textId="77777777" w:rsidR="008E5934" w:rsidRPr="004D2F23" w:rsidRDefault="008E5934" w:rsidP="008E5934">
            <w:pPr>
              <w:autoSpaceDE w:val="0"/>
              <w:autoSpaceDN w:val="0"/>
              <w:adjustRightInd w:val="0"/>
              <w:spacing w:after="0" w:line="240" w:lineRule="auto"/>
              <w:rPr>
                <w:rFonts w:ascii="Segoe UI" w:hAnsi="Segoe UI" w:cs="Segoe UI"/>
                <w:sz w:val="28"/>
                <w:szCs w:val="28"/>
              </w:rPr>
            </w:pPr>
            <w:r w:rsidRPr="004D2F23">
              <w:rPr>
                <w:rFonts w:ascii="Times New Roman" w:hAnsi="Times New Roman" w:cs="Times New Roman"/>
                <w:sz w:val="28"/>
                <w:szCs w:val="28"/>
              </w:rPr>
              <w:t>Source: 2019 ad hoc survey and IADI (2018).</w:t>
            </w:r>
            <w:r w:rsidRPr="004D2F23">
              <w:rPr>
                <w:rFonts w:ascii="Segoe UI" w:hAnsi="Segoe UI" w:cs="Segoe UI"/>
                <w:sz w:val="28"/>
                <w:szCs w:val="28"/>
              </w:rPr>
              <w:t xml:space="preserve"> </w:t>
            </w:r>
          </w:p>
        </w:tc>
      </w:tr>
    </w:tbl>
    <w:p w14:paraId="3B2C904D" w14:textId="77777777" w:rsidR="008E5934" w:rsidRPr="004D2F23" w:rsidRDefault="008E5934" w:rsidP="00BB79B2">
      <w:pPr>
        <w:ind w:firstLine="720"/>
        <w:jc w:val="both"/>
        <w:rPr>
          <w:sz w:val="28"/>
          <w:szCs w:val="28"/>
        </w:rPr>
      </w:pPr>
    </w:p>
    <w:p w14:paraId="718F72EA" w14:textId="44F4D505" w:rsidR="00191A4F" w:rsidRPr="004D2F23" w:rsidRDefault="00C23BCD" w:rsidP="00BB79B2">
      <w:pPr>
        <w:ind w:firstLine="720"/>
        <w:jc w:val="both"/>
        <w:rPr>
          <w:rFonts w:ascii="Times New Roman" w:hAnsi="Times New Roman" w:cs="Times New Roman"/>
          <w:b/>
          <w:sz w:val="28"/>
          <w:szCs w:val="28"/>
        </w:rPr>
      </w:pPr>
      <w:r w:rsidRPr="004D2F23">
        <w:rPr>
          <w:rFonts w:ascii="Times New Roman" w:hAnsi="Times New Roman" w:cs="Times New Roman"/>
          <w:b/>
          <w:sz w:val="28"/>
          <w:szCs w:val="28"/>
        </w:rPr>
        <w:t xml:space="preserve">IV. </w:t>
      </w:r>
      <w:r w:rsidR="00191A4F" w:rsidRPr="004D2F23">
        <w:rPr>
          <w:rFonts w:ascii="Times New Roman" w:hAnsi="Times New Roman" w:cs="Times New Roman"/>
          <w:b/>
          <w:sz w:val="28"/>
          <w:szCs w:val="28"/>
        </w:rPr>
        <w:t xml:space="preserve">Quy định </w:t>
      </w:r>
      <w:r w:rsidR="00FE425C" w:rsidRPr="004D2F23">
        <w:rPr>
          <w:rFonts w:ascii="Times New Roman" w:hAnsi="Times New Roman" w:cs="Times New Roman"/>
          <w:b/>
          <w:sz w:val="28"/>
          <w:szCs w:val="28"/>
        </w:rPr>
        <w:t>của</w:t>
      </w:r>
      <w:r w:rsidR="00191A4F" w:rsidRPr="004D2F23">
        <w:rPr>
          <w:rFonts w:ascii="Times New Roman" w:hAnsi="Times New Roman" w:cs="Times New Roman"/>
          <w:b/>
          <w:sz w:val="28"/>
          <w:szCs w:val="28"/>
        </w:rPr>
        <w:t xml:space="preserve"> một số nước</w:t>
      </w:r>
      <w:r w:rsidR="00FE425C" w:rsidRPr="004D2F23">
        <w:rPr>
          <w:rFonts w:ascii="Times New Roman" w:hAnsi="Times New Roman" w:cs="Times New Roman"/>
          <w:b/>
          <w:sz w:val="28"/>
          <w:szCs w:val="28"/>
        </w:rPr>
        <w:t xml:space="preserve"> tiêu biểu</w:t>
      </w:r>
      <w:r w:rsidR="00191A4F" w:rsidRPr="004D2F23">
        <w:rPr>
          <w:rFonts w:ascii="Times New Roman" w:hAnsi="Times New Roman" w:cs="Times New Roman"/>
          <w:b/>
          <w:sz w:val="28"/>
          <w:szCs w:val="28"/>
        </w:rPr>
        <w:t>:</w:t>
      </w:r>
    </w:p>
    <w:p w14:paraId="7F9CE7B2" w14:textId="2A36F2F2" w:rsidR="00FE425C" w:rsidRPr="004D2F23" w:rsidRDefault="00FE425C" w:rsidP="00BB79B2">
      <w:pPr>
        <w:ind w:firstLine="720"/>
        <w:jc w:val="both"/>
        <w:rPr>
          <w:rFonts w:ascii="Times New Roman" w:hAnsi="Times New Roman" w:cs="Times New Roman"/>
          <w:b/>
          <w:sz w:val="28"/>
          <w:szCs w:val="28"/>
        </w:rPr>
      </w:pPr>
      <w:r w:rsidRPr="004D2F23">
        <w:rPr>
          <w:rFonts w:ascii="Times New Roman" w:hAnsi="Times New Roman" w:cs="Times New Roman"/>
          <w:b/>
          <w:sz w:val="28"/>
          <w:szCs w:val="28"/>
        </w:rPr>
        <w:t>1. Nhật Bản:</w:t>
      </w:r>
    </w:p>
    <w:p w14:paraId="3AD1A963" w14:textId="045F9869" w:rsidR="00FE425C" w:rsidRPr="004D2F23" w:rsidRDefault="00FE425C" w:rsidP="00FE425C">
      <w:pPr>
        <w:spacing w:before="120" w:after="120" w:line="240" w:lineRule="auto"/>
        <w:ind w:firstLine="709"/>
        <w:jc w:val="both"/>
        <w:rPr>
          <w:rStyle w:val="Strong"/>
          <w:rFonts w:ascii="Times New Roman" w:eastAsia="Times New Roman" w:hAnsi="Times New Roman" w:cs="Times New Roman"/>
          <w:b w:val="0"/>
          <w:bCs w:val="0"/>
          <w:iCs/>
          <w:sz w:val="28"/>
          <w:szCs w:val="28"/>
        </w:rPr>
      </w:pPr>
      <w:r w:rsidRPr="004D2F23">
        <w:rPr>
          <w:rStyle w:val="Strong"/>
          <w:rFonts w:ascii="Times New Roman" w:eastAsia="Times New Roman" w:hAnsi="Times New Roman" w:cs="Times New Roman"/>
          <w:sz w:val="28"/>
          <w:szCs w:val="28"/>
        </w:rPr>
        <w:t>1.1. Cơ sở pháp lý</w:t>
      </w:r>
      <w:r w:rsidRPr="004D2F23">
        <w:rPr>
          <w:rFonts w:ascii="Times New Roman" w:hAnsi="Times New Roman" w:cs="Times New Roman"/>
          <w:b/>
          <w:bCs/>
          <w:iCs/>
          <w:sz w:val="28"/>
          <w:szCs w:val="28"/>
        </w:rPr>
        <w:t xml:space="preserve"> về can thiệp sớm và xử lý tổ chức tài chính yếu kém</w:t>
      </w:r>
    </w:p>
    <w:p w14:paraId="185C0B24" w14:textId="77777777" w:rsidR="00FE425C" w:rsidRPr="004D2F23" w:rsidRDefault="00FE425C" w:rsidP="00FE425C">
      <w:pPr>
        <w:spacing w:before="120" w:after="120" w:line="240" w:lineRule="auto"/>
        <w:ind w:firstLine="709"/>
        <w:jc w:val="both"/>
        <w:rPr>
          <w:rFonts w:ascii="Times New Roman" w:hAnsi="Times New Roman" w:cs="Times New Roman"/>
          <w:b/>
          <w:bCs/>
          <w:sz w:val="28"/>
          <w:szCs w:val="28"/>
        </w:rPr>
      </w:pPr>
      <w:r w:rsidRPr="004D2F23">
        <w:rPr>
          <w:rStyle w:val="Strong"/>
          <w:rFonts w:ascii="Times New Roman" w:eastAsia="Times New Roman" w:hAnsi="Times New Roman" w:cs="Times New Roman"/>
          <w:b w:val="0"/>
          <w:i/>
          <w:sz w:val="28"/>
          <w:szCs w:val="28"/>
        </w:rPr>
        <w:t>- Luật Ngân hàng Nhật Bản</w:t>
      </w:r>
      <w:r w:rsidRPr="004D2F23">
        <w:rPr>
          <w:rFonts w:ascii="Times New Roman" w:hAnsi="Times New Roman" w:cs="Times New Roman"/>
          <w:b/>
          <w:i/>
          <w:iCs/>
          <w:sz w:val="28"/>
          <w:szCs w:val="28"/>
        </w:rPr>
        <w:t xml:space="preserve"> (</w:t>
      </w:r>
      <w:r w:rsidRPr="004D2F23">
        <w:rPr>
          <w:rStyle w:val="Strong"/>
          <w:rFonts w:ascii="Times New Roman" w:eastAsia="Times New Roman" w:hAnsi="Times New Roman" w:cs="Times New Roman"/>
          <w:b w:val="0"/>
          <w:i/>
          <w:sz w:val="28"/>
          <w:szCs w:val="28"/>
        </w:rPr>
        <w:t>Banking Act of Japan):</w:t>
      </w:r>
      <w:r w:rsidRPr="004D2F23">
        <w:rPr>
          <w:rStyle w:val="Strong"/>
          <w:rFonts w:ascii="Times New Roman" w:eastAsia="Times New Roman" w:hAnsi="Times New Roman" w:cs="Times New Roman"/>
          <w:sz w:val="28"/>
          <w:szCs w:val="28"/>
        </w:rPr>
        <w:t xml:space="preserve"> </w:t>
      </w:r>
      <w:r w:rsidRPr="004D2F23">
        <w:rPr>
          <w:rFonts w:ascii="Times New Roman" w:hAnsi="Times New Roman" w:cs="Times New Roman"/>
          <w:sz w:val="28"/>
          <w:szCs w:val="28"/>
        </w:rPr>
        <w:t xml:space="preserve">Là nền tảng pháp lý chính điều chỉnh hoạt động của các tổ chức ngân hàng, cung cấp các quy định về cấp phép, hoạt động, và các biện pháp xử lý ngân hàng gặp khó khăn, bao gồm cả việc sáp nhập, mua lại, và P&amp;A. </w:t>
      </w:r>
      <w:r w:rsidRPr="004D2F23">
        <w:rPr>
          <w:rStyle w:val="Strong"/>
          <w:rFonts w:ascii="Times New Roman" w:hAnsi="Times New Roman" w:cs="Times New Roman"/>
          <w:b w:val="0"/>
          <w:sz w:val="28"/>
          <w:szCs w:val="28"/>
        </w:rPr>
        <w:t>Luật Ngân</w:t>
      </w:r>
      <w:r w:rsidRPr="004D2F23">
        <w:rPr>
          <w:rStyle w:val="Strong"/>
          <w:rFonts w:ascii="Times New Roman" w:hAnsi="Times New Roman" w:cs="Times New Roman"/>
          <w:sz w:val="28"/>
          <w:szCs w:val="28"/>
        </w:rPr>
        <w:t xml:space="preserve"> </w:t>
      </w:r>
      <w:r w:rsidRPr="004D2F23">
        <w:rPr>
          <w:rFonts w:ascii="Times New Roman" w:hAnsi="Times New Roman" w:cs="Times New Roman"/>
          <w:sz w:val="28"/>
          <w:szCs w:val="28"/>
        </w:rPr>
        <w:t xml:space="preserve">hàng Nhật Bản là khung pháp lý nền tảng điều chỉnh hoạt động, giám sát và quản lý các tổ chức ngân hàng tại Nhật. Được ban hành lần đầu vào năm 1927, luật này đã được sửa đổi nhiều lần để thích ứng với các thay đổi trong môi trường tài chính toàn cầu và trong nước. </w:t>
      </w:r>
    </w:p>
    <w:p w14:paraId="1E242531" w14:textId="33A10F8C" w:rsidR="00FE425C" w:rsidRPr="004D2F23" w:rsidRDefault="00FE425C" w:rsidP="00FE425C">
      <w:pPr>
        <w:spacing w:before="120" w:after="120" w:line="240" w:lineRule="auto"/>
        <w:ind w:firstLine="709"/>
        <w:jc w:val="both"/>
        <w:rPr>
          <w:rFonts w:ascii="Times New Roman" w:hAnsi="Times New Roman" w:cs="Times New Roman"/>
          <w:sz w:val="28"/>
          <w:szCs w:val="28"/>
        </w:rPr>
      </w:pPr>
      <w:r w:rsidRPr="004D2F23">
        <w:rPr>
          <w:rStyle w:val="Strong"/>
          <w:rFonts w:ascii="Times New Roman" w:hAnsi="Times New Roman" w:cs="Times New Roman"/>
          <w:b w:val="0"/>
          <w:i/>
          <w:sz w:val="28"/>
          <w:szCs w:val="28"/>
        </w:rPr>
        <w:t>- Luật Bảo hiểm Tiền gửi</w:t>
      </w:r>
      <w:r w:rsidRPr="004D2F23">
        <w:rPr>
          <w:rFonts w:ascii="Times New Roman" w:hAnsi="Times New Roman" w:cs="Times New Roman"/>
          <w:i/>
          <w:sz w:val="28"/>
          <w:szCs w:val="28"/>
        </w:rPr>
        <w:t>:</w:t>
      </w:r>
      <w:r w:rsidRPr="004D2F23">
        <w:rPr>
          <w:rFonts w:ascii="Times New Roman" w:hAnsi="Times New Roman" w:cs="Times New Roman"/>
          <w:b/>
          <w:sz w:val="28"/>
          <w:szCs w:val="28"/>
        </w:rPr>
        <w:t xml:space="preserve"> </w:t>
      </w:r>
      <w:r w:rsidRPr="004D2F23">
        <w:rPr>
          <w:rFonts w:ascii="Times New Roman" w:hAnsi="Times New Roman" w:cs="Times New Roman"/>
          <w:sz w:val="28"/>
          <w:szCs w:val="28"/>
        </w:rPr>
        <w:t xml:space="preserve">Được thông qua vào năm 1971 và sau đó được sửa đổi nhiều lần, luật này tạo ra cơ chế bảo hiểm tiền gửi tại Nhật Bản. </w:t>
      </w:r>
      <w:r w:rsidR="000B70C3" w:rsidRPr="004D2F23">
        <w:rPr>
          <w:rFonts w:ascii="Times New Roman" w:hAnsi="Times New Roman" w:cs="Times New Roman"/>
          <w:sz w:val="28"/>
          <w:szCs w:val="28"/>
        </w:rPr>
        <w:t>Cơ quan bảo hiểm tiền gửi Nhật Bản (</w:t>
      </w:r>
      <w:r w:rsidRPr="004D2F23">
        <w:rPr>
          <w:rStyle w:val="Strong"/>
          <w:rFonts w:ascii="Times New Roman" w:hAnsi="Times New Roman" w:cs="Times New Roman"/>
          <w:b w:val="0"/>
          <w:sz w:val="28"/>
          <w:szCs w:val="28"/>
        </w:rPr>
        <w:t>DICJ</w:t>
      </w:r>
      <w:r w:rsidR="000B70C3" w:rsidRPr="004D2F23">
        <w:rPr>
          <w:rStyle w:val="Strong"/>
          <w:rFonts w:ascii="Times New Roman" w:hAnsi="Times New Roman" w:cs="Times New Roman"/>
          <w:b w:val="0"/>
          <w:sz w:val="28"/>
          <w:szCs w:val="28"/>
        </w:rPr>
        <w:t>)</w:t>
      </w:r>
      <w:r w:rsidRPr="004D2F23">
        <w:rPr>
          <w:rFonts w:ascii="Times New Roman" w:hAnsi="Times New Roman" w:cs="Times New Roman"/>
          <w:b/>
          <w:sz w:val="28"/>
          <w:szCs w:val="28"/>
        </w:rPr>
        <w:t xml:space="preserve"> </w:t>
      </w:r>
      <w:r w:rsidRPr="004D2F23">
        <w:rPr>
          <w:rFonts w:ascii="Times New Roman" w:hAnsi="Times New Roman" w:cs="Times New Roman"/>
          <w:sz w:val="28"/>
          <w:szCs w:val="28"/>
        </w:rPr>
        <w:t xml:space="preserve">có trách nhiệm bảo vệ quyền lợi của người gửi tiền và tham gia vào việc xử lý các ngân hàng phá sản hoặc gặp khó khăn tài chính thông qua các biện pháp như P&amp;A. DICJ có thể thực hiện việc mua lại tài sản và nợ từ một ngân hàng phá sản, sau đó tìm kiếm một ngân hàng khác để tiếp nhận các tài sản lành mạnh và các nghĩa vụ tiền gửi của khách hàng. Điều này giúp duy trì niềm tin của công chúng và đảm bảo </w:t>
      </w:r>
      <w:proofErr w:type="gramStart"/>
      <w:r w:rsidRPr="004D2F23">
        <w:rPr>
          <w:rFonts w:ascii="Times New Roman" w:hAnsi="Times New Roman" w:cs="Times New Roman"/>
          <w:sz w:val="28"/>
          <w:szCs w:val="28"/>
        </w:rPr>
        <w:t>an</w:t>
      </w:r>
      <w:proofErr w:type="gramEnd"/>
      <w:r w:rsidRPr="004D2F23">
        <w:rPr>
          <w:rFonts w:ascii="Times New Roman" w:hAnsi="Times New Roman" w:cs="Times New Roman"/>
          <w:sz w:val="28"/>
          <w:szCs w:val="28"/>
        </w:rPr>
        <w:t xml:space="preserve"> toàn cho hệ thống ngân hàng.</w:t>
      </w:r>
    </w:p>
    <w:p w14:paraId="6BB39CB8" w14:textId="77777777" w:rsidR="00FE425C" w:rsidRPr="004D2F23" w:rsidRDefault="00FE425C" w:rsidP="00FE425C">
      <w:pPr>
        <w:spacing w:before="120" w:after="120" w:line="240" w:lineRule="auto"/>
        <w:ind w:firstLine="709"/>
        <w:jc w:val="both"/>
        <w:rPr>
          <w:rStyle w:val="Strong"/>
          <w:rFonts w:ascii="Times New Roman" w:hAnsi="Times New Roman" w:cs="Times New Roman"/>
          <w:b w:val="0"/>
          <w:bCs w:val="0"/>
          <w:i/>
          <w:sz w:val="28"/>
          <w:szCs w:val="28"/>
        </w:rPr>
      </w:pPr>
      <w:r w:rsidRPr="004D2F23">
        <w:rPr>
          <w:rStyle w:val="Strong"/>
          <w:rFonts w:ascii="Times New Roman" w:hAnsi="Times New Roman" w:cs="Times New Roman"/>
          <w:b w:val="0"/>
          <w:i/>
          <w:sz w:val="28"/>
          <w:szCs w:val="28"/>
        </w:rPr>
        <w:t xml:space="preserve">- Luật đảm bảo hoạt động an toàn, lành mạnh của TCTC: </w:t>
      </w:r>
      <w:r w:rsidRPr="004D2F23">
        <w:rPr>
          <w:rStyle w:val="Strong"/>
          <w:rFonts w:ascii="Times New Roman" w:hAnsi="Times New Roman" w:cs="Times New Roman"/>
          <w:b w:val="0"/>
          <w:sz w:val="28"/>
          <w:szCs w:val="28"/>
        </w:rPr>
        <w:t xml:space="preserve">Luật là cơ sở để triển khai </w:t>
      </w:r>
      <w:r w:rsidRPr="004D2F23">
        <w:rPr>
          <w:rStyle w:val="Strong"/>
          <w:rFonts w:ascii="Times New Roman" w:hAnsi="Times New Roman" w:cs="Times New Roman"/>
          <w:sz w:val="28"/>
          <w:szCs w:val="28"/>
          <w:lang w:val="vi-VN"/>
        </w:rPr>
        <w:t>can thiệp sớm - Prompt Corrective Action (</w:t>
      </w:r>
      <w:r w:rsidRPr="004D2F23">
        <w:rPr>
          <w:rStyle w:val="Strong"/>
          <w:rFonts w:ascii="Times New Roman" w:hAnsi="Times New Roman" w:cs="Times New Roman"/>
          <w:sz w:val="28"/>
          <w:szCs w:val="28"/>
        </w:rPr>
        <w:t>PCA</w:t>
      </w:r>
      <w:r w:rsidRPr="004D2F23">
        <w:rPr>
          <w:rStyle w:val="Strong"/>
          <w:rFonts w:ascii="Times New Roman" w:hAnsi="Times New Roman" w:cs="Times New Roman"/>
          <w:sz w:val="28"/>
          <w:szCs w:val="28"/>
          <w:lang w:val="vi-VN"/>
        </w:rPr>
        <w:t>)</w:t>
      </w:r>
      <w:r w:rsidRPr="004D2F23">
        <w:rPr>
          <w:rStyle w:val="Strong"/>
          <w:rFonts w:ascii="Times New Roman" w:hAnsi="Times New Roman" w:cs="Times New Roman"/>
          <w:b w:val="0"/>
          <w:sz w:val="28"/>
          <w:szCs w:val="28"/>
        </w:rPr>
        <w:t xml:space="preserve"> tại Nhật Bản. Khuôn khổ PCA được đưa vào áp dụng vào tháng 4 năm 1998 trong bối cảnh Nhật Bản đối mặt với cuộc khủng hoảng ngân hàng trên toàn hệ thống, trong đó tất cả các ngân hàng lớn và ngân hàng khu vực đã đánh giá sai vấn đề nợ xấu và định giá tài sản.</w:t>
      </w:r>
    </w:p>
    <w:p w14:paraId="64902977" w14:textId="0C79982D" w:rsidR="00FE425C" w:rsidRPr="004D2F23" w:rsidRDefault="00FE425C" w:rsidP="00FE425C">
      <w:pPr>
        <w:spacing w:before="120" w:after="120" w:line="240" w:lineRule="auto"/>
        <w:ind w:firstLine="709"/>
        <w:jc w:val="both"/>
        <w:rPr>
          <w:rFonts w:ascii="Times New Roman" w:hAnsi="Times New Roman" w:cs="Times New Roman"/>
          <w:sz w:val="28"/>
          <w:szCs w:val="28"/>
        </w:rPr>
      </w:pPr>
      <w:r w:rsidRPr="004D2F23">
        <w:rPr>
          <w:rFonts w:ascii="Times New Roman" w:hAnsi="Times New Roman" w:cs="Times New Roman"/>
          <w:bCs/>
          <w:i/>
          <w:iCs/>
          <w:sz w:val="28"/>
          <w:szCs w:val="28"/>
        </w:rPr>
        <w:t>- Luật củng cố hệ thống tài chính</w:t>
      </w:r>
      <w:r w:rsidRPr="004D2F23">
        <w:rPr>
          <w:rStyle w:val="Strong"/>
          <w:rFonts w:ascii="Times New Roman" w:eastAsia="Times New Roman" w:hAnsi="Times New Roman" w:cs="Times New Roman"/>
          <w:i/>
          <w:sz w:val="28"/>
          <w:szCs w:val="28"/>
        </w:rPr>
        <w:t xml:space="preserve"> </w:t>
      </w:r>
      <w:r w:rsidRPr="004D2F23">
        <w:rPr>
          <w:rStyle w:val="Strong"/>
          <w:rFonts w:ascii="Times New Roman" w:eastAsia="Times New Roman" w:hAnsi="Times New Roman" w:cs="Times New Roman"/>
          <w:b w:val="0"/>
          <w:i/>
          <w:sz w:val="28"/>
          <w:szCs w:val="28"/>
        </w:rPr>
        <w:t>2004 (Act on Special Measures for Strengthening Financial Functions):</w:t>
      </w:r>
      <w:r w:rsidRPr="004D2F23">
        <w:rPr>
          <w:rStyle w:val="Strong"/>
          <w:rFonts w:ascii="Times New Roman" w:eastAsia="Times New Roman" w:hAnsi="Times New Roman" w:cs="Times New Roman"/>
          <w:sz w:val="28"/>
          <w:szCs w:val="28"/>
        </w:rPr>
        <w:t xml:space="preserve"> </w:t>
      </w:r>
      <w:r w:rsidRPr="004D2F23">
        <w:rPr>
          <w:rFonts w:ascii="Times New Roman" w:hAnsi="Times New Roman" w:cs="Times New Roman"/>
          <w:sz w:val="28"/>
          <w:szCs w:val="28"/>
        </w:rPr>
        <w:t xml:space="preserve">Được thông qua nhằm đối phó với các cuộc khủng hoảng tài chính, luật này quy định các biện pháp xử lý đặc biệt dành cho các ngân hàng gặp khó khăn, bao gồm P&amp;A. </w:t>
      </w:r>
      <w:r w:rsidR="000B70C3" w:rsidRPr="004D2F23">
        <w:rPr>
          <w:rFonts w:ascii="Times New Roman" w:hAnsi="Times New Roman" w:cs="Times New Roman"/>
          <w:sz w:val="28"/>
          <w:szCs w:val="28"/>
        </w:rPr>
        <w:t>Cơ quan Dịch vụ Tài chính Nhật Bản (</w:t>
      </w:r>
      <w:r w:rsidRPr="004D2F23">
        <w:rPr>
          <w:rStyle w:val="Strong"/>
          <w:rFonts w:ascii="Times New Roman" w:eastAsia="Times New Roman" w:hAnsi="Times New Roman" w:cs="Times New Roman"/>
          <w:b w:val="0"/>
          <w:sz w:val="28"/>
          <w:szCs w:val="28"/>
        </w:rPr>
        <w:t>FSA</w:t>
      </w:r>
      <w:r w:rsidR="000B70C3" w:rsidRPr="004D2F23">
        <w:rPr>
          <w:rStyle w:val="Strong"/>
          <w:rFonts w:ascii="Times New Roman" w:eastAsia="Times New Roman" w:hAnsi="Times New Roman" w:cs="Times New Roman"/>
          <w:b w:val="0"/>
          <w:sz w:val="28"/>
          <w:szCs w:val="28"/>
        </w:rPr>
        <w:t>)</w:t>
      </w:r>
      <w:r w:rsidRPr="004D2F23">
        <w:rPr>
          <w:rFonts w:ascii="Times New Roman" w:hAnsi="Times New Roman" w:cs="Times New Roman"/>
          <w:b/>
          <w:sz w:val="28"/>
          <w:szCs w:val="28"/>
        </w:rPr>
        <w:t xml:space="preserve"> </w:t>
      </w:r>
      <w:r w:rsidRPr="004D2F23">
        <w:rPr>
          <w:rFonts w:ascii="Times New Roman" w:hAnsi="Times New Roman" w:cs="Times New Roman"/>
          <w:sz w:val="28"/>
          <w:szCs w:val="28"/>
        </w:rPr>
        <w:t>và</w:t>
      </w:r>
      <w:r w:rsidRPr="004D2F23">
        <w:rPr>
          <w:rFonts w:ascii="Times New Roman" w:hAnsi="Times New Roman" w:cs="Times New Roman"/>
          <w:b/>
          <w:sz w:val="28"/>
          <w:szCs w:val="28"/>
        </w:rPr>
        <w:t xml:space="preserve"> </w:t>
      </w:r>
      <w:r w:rsidRPr="004D2F23">
        <w:rPr>
          <w:rStyle w:val="Strong"/>
          <w:rFonts w:ascii="Times New Roman" w:eastAsia="Times New Roman" w:hAnsi="Times New Roman" w:cs="Times New Roman"/>
          <w:b w:val="0"/>
          <w:sz w:val="28"/>
          <w:szCs w:val="28"/>
        </w:rPr>
        <w:t>DICJ</w:t>
      </w:r>
      <w:r w:rsidRPr="004D2F23">
        <w:rPr>
          <w:rFonts w:ascii="Times New Roman" w:hAnsi="Times New Roman" w:cs="Times New Roman"/>
          <w:sz w:val="28"/>
          <w:szCs w:val="28"/>
        </w:rPr>
        <w:t xml:space="preserve"> có thể triển khai các biện pháp như tái cấp vốn, hỗ trợ tài chính hoặc khuyến khích các ngân hàng mạnh hơn tiếp nhận ngân hàng yếu thông qua cơ chế P&amp;A. Luật này cũng quy định các quy trình đối với những ngân hàng có tầm quan trọng hệ thống nhằm bảo vệ sự ổn định của hệ thống tài chính.</w:t>
      </w:r>
    </w:p>
    <w:p w14:paraId="0993A65B" w14:textId="62669569" w:rsidR="00FE425C" w:rsidRPr="004D2F23" w:rsidRDefault="00FE425C" w:rsidP="00FE425C">
      <w:pPr>
        <w:pStyle w:val="Heading2"/>
        <w:spacing w:before="120" w:after="120"/>
        <w:ind w:firstLine="709"/>
        <w:jc w:val="both"/>
        <w:rPr>
          <w:rFonts w:ascii="Times New Roman" w:hAnsi="Times New Roman"/>
          <w:b/>
          <w:bCs/>
          <w:i w:val="0"/>
          <w:iCs w:val="0"/>
          <w:color w:val="auto"/>
          <w:sz w:val="28"/>
          <w:szCs w:val="28"/>
        </w:rPr>
      </w:pPr>
      <w:bookmarkStart w:id="1" w:name="_Toc181274305"/>
      <w:bookmarkStart w:id="2" w:name="_Toc184511521"/>
      <w:r w:rsidRPr="004D2F23">
        <w:rPr>
          <w:rFonts w:ascii="Times New Roman" w:hAnsi="Times New Roman"/>
          <w:b/>
          <w:bCs/>
          <w:i w:val="0"/>
          <w:color w:val="auto"/>
          <w:sz w:val="28"/>
          <w:szCs w:val="28"/>
          <w:lang w:val="en-US"/>
        </w:rPr>
        <w:lastRenderedPageBreak/>
        <w:t>1.2</w:t>
      </w:r>
      <w:r w:rsidRPr="004D2F23">
        <w:rPr>
          <w:rFonts w:ascii="Times New Roman" w:hAnsi="Times New Roman"/>
          <w:b/>
          <w:bCs/>
          <w:i w:val="0"/>
          <w:color w:val="auto"/>
          <w:sz w:val="28"/>
          <w:szCs w:val="28"/>
        </w:rPr>
        <w:t>. Giai đoạn can thiệp sớm</w:t>
      </w:r>
      <w:bookmarkEnd w:id="1"/>
      <w:bookmarkEnd w:id="2"/>
    </w:p>
    <w:p w14:paraId="0061A8A9" w14:textId="77777777" w:rsidR="00FE425C" w:rsidRPr="004D2F23" w:rsidRDefault="00FE425C" w:rsidP="00FE425C">
      <w:pPr>
        <w:pStyle w:val="Heading3"/>
        <w:spacing w:before="120" w:after="120" w:line="240" w:lineRule="auto"/>
        <w:ind w:firstLine="709"/>
        <w:jc w:val="both"/>
        <w:rPr>
          <w:rFonts w:ascii="Times New Roman" w:hAnsi="Times New Roman"/>
          <w:b w:val="0"/>
          <w:bCs w:val="0"/>
          <w:i/>
          <w:iCs/>
          <w:sz w:val="28"/>
          <w:szCs w:val="28"/>
        </w:rPr>
      </w:pPr>
      <w:bookmarkStart w:id="3" w:name="_Toc181274306"/>
      <w:bookmarkStart w:id="4" w:name="_Toc184511522"/>
      <w:r w:rsidRPr="004D2F23">
        <w:rPr>
          <w:rFonts w:ascii="Times New Roman" w:hAnsi="Times New Roman"/>
          <w:b w:val="0"/>
          <w:bCs w:val="0"/>
          <w:i/>
          <w:iCs/>
          <w:sz w:val="28"/>
          <w:szCs w:val="28"/>
        </w:rPr>
        <w:t>a. Thẩm quyền quyết định can thiệp sớm</w:t>
      </w:r>
      <w:bookmarkEnd w:id="3"/>
      <w:bookmarkEnd w:id="4"/>
      <w:r w:rsidRPr="004D2F23">
        <w:rPr>
          <w:rFonts w:ascii="Times New Roman" w:hAnsi="Times New Roman"/>
          <w:b w:val="0"/>
          <w:bCs w:val="0"/>
          <w:i/>
          <w:iCs/>
          <w:sz w:val="28"/>
          <w:szCs w:val="28"/>
        </w:rPr>
        <w:t xml:space="preserve"> – Prompt Corrective Action</w:t>
      </w:r>
    </w:p>
    <w:p w14:paraId="3D900654" w14:textId="77777777" w:rsidR="00FE425C" w:rsidRPr="004D2F23" w:rsidRDefault="00FE425C" w:rsidP="00FE425C">
      <w:pPr>
        <w:pStyle w:val="ListParagraph"/>
        <w:tabs>
          <w:tab w:val="left" w:pos="284"/>
        </w:tabs>
        <w:spacing w:before="120" w:after="120"/>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 xml:space="preserve">Trong trường hợp ngân hàng gặp phải vấn đề nghiêm trọng, FSA sẽ yêu cầu ngân hàng đó thực hiện cải thiện hoạt động kinh doanh hoặc thực hiện bất kỳ biện pháp nào khác </w:t>
      </w:r>
      <w:proofErr w:type="gramStart"/>
      <w:r w:rsidRPr="004D2F23">
        <w:rPr>
          <w:rFonts w:ascii="Times New Roman" w:hAnsi="Times New Roman" w:cs="Times New Roman"/>
          <w:sz w:val="28"/>
          <w:szCs w:val="28"/>
        </w:rPr>
        <w:t>theo</w:t>
      </w:r>
      <w:proofErr w:type="gramEnd"/>
      <w:r w:rsidRPr="004D2F23">
        <w:rPr>
          <w:rFonts w:ascii="Times New Roman" w:hAnsi="Times New Roman" w:cs="Times New Roman"/>
          <w:sz w:val="28"/>
          <w:szCs w:val="28"/>
        </w:rPr>
        <w:t xml:space="preserve"> Điều 26 của Đạo luật Ngân hàng (hoặc hành động khắc phục kịp thời)</w:t>
      </w:r>
      <w:r w:rsidRPr="004D2F23">
        <w:rPr>
          <w:rFonts w:ascii="Times New Roman" w:hAnsi="Times New Roman" w:cs="Times New Roman"/>
          <w:sz w:val="28"/>
          <w:szCs w:val="28"/>
          <w:vertAlign w:val="superscript"/>
        </w:rPr>
        <w:footnoteReference w:id="5"/>
      </w:r>
      <w:r w:rsidRPr="004D2F23">
        <w:rPr>
          <w:rFonts w:ascii="Times New Roman" w:hAnsi="Times New Roman" w:cs="Times New Roman"/>
          <w:sz w:val="28"/>
          <w:szCs w:val="28"/>
        </w:rPr>
        <w:t>.</w:t>
      </w:r>
      <w:bookmarkStart w:id="5" w:name="_Toc181274307"/>
      <w:bookmarkStart w:id="6" w:name="_Toc184511523"/>
      <w:r w:rsidRPr="004D2F23">
        <w:rPr>
          <w:rFonts w:ascii="Times New Roman" w:hAnsi="Times New Roman" w:cs="Times New Roman"/>
          <w:sz w:val="28"/>
          <w:szCs w:val="28"/>
        </w:rPr>
        <w:t xml:space="preserve"> FSA là cơ quan duy nhất chịu trách nhiệm thực hiện PCA.</w:t>
      </w:r>
    </w:p>
    <w:p w14:paraId="594FA16D" w14:textId="77777777" w:rsidR="00FE425C" w:rsidRPr="004D2F23" w:rsidRDefault="00FE425C" w:rsidP="00FE425C">
      <w:pPr>
        <w:pStyle w:val="ListParagraph"/>
        <w:tabs>
          <w:tab w:val="left" w:pos="284"/>
        </w:tabs>
        <w:spacing w:before="120" w:after="120"/>
        <w:ind w:left="0" w:firstLine="709"/>
        <w:contextualSpacing w:val="0"/>
        <w:jc w:val="both"/>
        <w:rPr>
          <w:rFonts w:ascii="Times New Roman" w:hAnsi="Times New Roman" w:cs="Times New Roman"/>
          <w:i/>
          <w:iCs/>
          <w:sz w:val="28"/>
          <w:szCs w:val="28"/>
        </w:rPr>
      </w:pPr>
      <w:r w:rsidRPr="004D2F23">
        <w:rPr>
          <w:rFonts w:ascii="Times New Roman" w:hAnsi="Times New Roman" w:cs="Times New Roman"/>
          <w:i/>
          <w:iCs/>
          <w:sz w:val="28"/>
          <w:szCs w:val="28"/>
        </w:rPr>
        <w:t>b. Các điều kiện và biện pháp can thiệp sớm</w:t>
      </w:r>
      <w:bookmarkEnd w:id="5"/>
      <w:bookmarkEnd w:id="6"/>
    </w:p>
    <w:p w14:paraId="5EF0C3D0" w14:textId="77777777" w:rsidR="00FE425C" w:rsidRPr="004D2F23" w:rsidRDefault="00FE425C" w:rsidP="00FE425C">
      <w:pPr>
        <w:pStyle w:val="ListParagraph"/>
        <w:tabs>
          <w:tab w:val="left" w:pos="284"/>
        </w:tabs>
        <w:spacing w:before="120" w:after="120"/>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Các đặc điểm chính của khuôn khổ PCA đối với các ngân hàng quốc tế tại Nhật Bản: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68"/>
        <w:gridCol w:w="1479"/>
        <w:gridCol w:w="1639"/>
        <w:gridCol w:w="1641"/>
        <w:gridCol w:w="3303"/>
      </w:tblGrid>
      <w:tr w:rsidR="004D2F23" w:rsidRPr="004D2F23" w14:paraId="0BFFA29B" w14:textId="77777777" w:rsidTr="002D39C7">
        <w:tc>
          <w:tcPr>
            <w:tcW w:w="770" w:type="pct"/>
            <w:shd w:val="clear" w:color="auto" w:fill="auto"/>
            <w:vAlign w:val="center"/>
          </w:tcPr>
          <w:p w14:paraId="5594EE02" w14:textId="77777777" w:rsidR="00FE425C" w:rsidRPr="004D2F23" w:rsidRDefault="00FE425C" w:rsidP="002D39C7">
            <w:pPr>
              <w:pStyle w:val="ListParagraph"/>
              <w:tabs>
                <w:tab w:val="left" w:pos="284"/>
              </w:tabs>
              <w:ind w:left="0"/>
              <w:contextualSpacing w:val="0"/>
              <w:jc w:val="center"/>
              <w:rPr>
                <w:rFonts w:ascii="Times New Roman" w:hAnsi="Times New Roman" w:cs="Times New Roman"/>
                <w:b/>
                <w:bCs/>
                <w:sz w:val="28"/>
                <w:szCs w:val="28"/>
                <w:lang w:val="vi-VN"/>
              </w:rPr>
            </w:pPr>
            <w:r w:rsidRPr="004D2F23">
              <w:rPr>
                <w:rFonts w:ascii="Times New Roman" w:hAnsi="Times New Roman" w:cs="Times New Roman"/>
                <w:b/>
                <w:bCs/>
                <w:sz w:val="28"/>
                <w:szCs w:val="28"/>
              </w:rPr>
              <w:t>Phân loại ngân hàng thiếu vốn</w:t>
            </w:r>
          </w:p>
        </w:tc>
        <w:tc>
          <w:tcPr>
            <w:tcW w:w="776" w:type="pct"/>
            <w:shd w:val="clear" w:color="auto" w:fill="auto"/>
            <w:vAlign w:val="center"/>
          </w:tcPr>
          <w:p w14:paraId="4D7BAEB3" w14:textId="77777777" w:rsidR="00FE425C" w:rsidRPr="004D2F23" w:rsidRDefault="00FE425C" w:rsidP="002D39C7">
            <w:pPr>
              <w:pStyle w:val="ListParagraph"/>
              <w:tabs>
                <w:tab w:val="left" w:pos="284"/>
              </w:tabs>
              <w:ind w:left="0"/>
              <w:contextualSpacing w:val="0"/>
              <w:jc w:val="center"/>
              <w:rPr>
                <w:rFonts w:ascii="Times New Roman" w:hAnsi="Times New Roman" w:cs="Times New Roman"/>
                <w:b/>
                <w:bCs/>
                <w:sz w:val="28"/>
                <w:szCs w:val="28"/>
              </w:rPr>
            </w:pPr>
            <w:r w:rsidRPr="004D2F23">
              <w:rPr>
                <w:rFonts w:ascii="Times New Roman" w:hAnsi="Times New Roman" w:cs="Times New Roman"/>
                <w:b/>
                <w:bCs/>
                <w:sz w:val="28"/>
                <w:szCs w:val="28"/>
              </w:rPr>
              <w:t>Tỷ lệ an toàn vốn</w:t>
            </w:r>
          </w:p>
        </w:tc>
        <w:tc>
          <w:tcPr>
            <w:tcW w:w="860" w:type="pct"/>
            <w:shd w:val="clear" w:color="auto" w:fill="auto"/>
            <w:vAlign w:val="center"/>
          </w:tcPr>
          <w:p w14:paraId="1CE9D90E" w14:textId="77777777" w:rsidR="00FE425C" w:rsidRPr="004D2F23" w:rsidRDefault="00FE425C" w:rsidP="002D39C7">
            <w:pPr>
              <w:pStyle w:val="ListParagraph"/>
              <w:tabs>
                <w:tab w:val="left" w:pos="284"/>
              </w:tabs>
              <w:ind w:left="0"/>
              <w:contextualSpacing w:val="0"/>
              <w:jc w:val="center"/>
              <w:rPr>
                <w:rFonts w:ascii="Times New Roman" w:hAnsi="Times New Roman" w:cs="Times New Roman"/>
                <w:b/>
                <w:bCs/>
                <w:sz w:val="28"/>
                <w:szCs w:val="28"/>
              </w:rPr>
            </w:pPr>
            <w:r w:rsidRPr="004D2F23">
              <w:rPr>
                <w:rFonts w:ascii="Times New Roman" w:hAnsi="Times New Roman" w:cs="Times New Roman"/>
                <w:b/>
                <w:bCs/>
                <w:sz w:val="28"/>
                <w:szCs w:val="28"/>
              </w:rPr>
              <w:t>Tỷ lệ vốn cấp 1</w:t>
            </w:r>
          </w:p>
        </w:tc>
        <w:tc>
          <w:tcPr>
            <w:tcW w:w="861" w:type="pct"/>
            <w:shd w:val="clear" w:color="auto" w:fill="auto"/>
            <w:vAlign w:val="center"/>
          </w:tcPr>
          <w:p w14:paraId="5238A143" w14:textId="77777777" w:rsidR="00FE425C" w:rsidRPr="004D2F23" w:rsidRDefault="00FE425C" w:rsidP="002D39C7">
            <w:pPr>
              <w:pStyle w:val="ListParagraph"/>
              <w:tabs>
                <w:tab w:val="left" w:pos="284"/>
              </w:tabs>
              <w:ind w:left="0"/>
              <w:contextualSpacing w:val="0"/>
              <w:jc w:val="center"/>
              <w:rPr>
                <w:rFonts w:ascii="Times New Roman" w:hAnsi="Times New Roman" w:cs="Times New Roman"/>
                <w:b/>
                <w:bCs/>
                <w:sz w:val="28"/>
                <w:szCs w:val="28"/>
                <w:lang w:val="vi-VN"/>
              </w:rPr>
            </w:pPr>
            <w:r w:rsidRPr="004D2F23">
              <w:rPr>
                <w:rFonts w:ascii="Times New Roman" w:hAnsi="Times New Roman" w:cs="Times New Roman"/>
                <w:b/>
                <w:bCs/>
                <w:sz w:val="28"/>
                <w:szCs w:val="28"/>
              </w:rPr>
              <w:t>Tỷ lệ vốn lõi cấp 1 (CET1)</w:t>
            </w:r>
          </w:p>
        </w:tc>
        <w:tc>
          <w:tcPr>
            <w:tcW w:w="1734" w:type="pct"/>
            <w:shd w:val="clear" w:color="auto" w:fill="auto"/>
            <w:vAlign w:val="center"/>
          </w:tcPr>
          <w:p w14:paraId="618F6380" w14:textId="77777777" w:rsidR="00FE425C" w:rsidRPr="004D2F23" w:rsidRDefault="00FE425C" w:rsidP="002D39C7">
            <w:pPr>
              <w:pStyle w:val="ListParagraph"/>
              <w:tabs>
                <w:tab w:val="left" w:pos="284"/>
              </w:tabs>
              <w:ind w:left="0"/>
              <w:contextualSpacing w:val="0"/>
              <w:jc w:val="center"/>
              <w:rPr>
                <w:rFonts w:ascii="Times New Roman" w:hAnsi="Times New Roman" w:cs="Times New Roman"/>
                <w:b/>
                <w:bCs/>
                <w:sz w:val="28"/>
                <w:szCs w:val="28"/>
              </w:rPr>
            </w:pPr>
            <w:r w:rsidRPr="004D2F23">
              <w:rPr>
                <w:rFonts w:ascii="Times New Roman" w:hAnsi="Times New Roman" w:cs="Times New Roman"/>
                <w:b/>
                <w:bCs/>
                <w:sz w:val="28"/>
                <w:szCs w:val="28"/>
              </w:rPr>
              <w:t>Thẩm quyền</w:t>
            </w:r>
          </w:p>
          <w:p w14:paraId="54E90F5F" w14:textId="77777777" w:rsidR="00FE425C" w:rsidRPr="004D2F23" w:rsidRDefault="00FE425C" w:rsidP="002D39C7">
            <w:pPr>
              <w:pStyle w:val="ListParagraph"/>
              <w:tabs>
                <w:tab w:val="left" w:pos="284"/>
              </w:tabs>
              <w:ind w:left="0"/>
              <w:contextualSpacing w:val="0"/>
              <w:jc w:val="center"/>
              <w:rPr>
                <w:rFonts w:ascii="Times New Roman" w:hAnsi="Times New Roman" w:cs="Times New Roman"/>
                <w:b/>
                <w:bCs/>
                <w:sz w:val="28"/>
                <w:szCs w:val="28"/>
              </w:rPr>
            </w:pPr>
            <w:r w:rsidRPr="004D2F23">
              <w:rPr>
                <w:rFonts w:ascii="Times New Roman" w:hAnsi="Times New Roman" w:cs="Times New Roman"/>
                <w:b/>
                <w:bCs/>
                <w:sz w:val="28"/>
                <w:szCs w:val="28"/>
              </w:rPr>
              <w:t>của FSA</w:t>
            </w:r>
          </w:p>
        </w:tc>
      </w:tr>
      <w:tr w:rsidR="004D2F23" w:rsidRPr="004D2F23" w14:paraId="11738617" w14:textId="77777777" w:rsidTr="002D39C7">
        <w:tc>
          <w:tcPr>
            <w:tcW w:w="770" w:type="pct"/>
            <w:shd w:val="clear" w:color="auto" w:fill="auto"/>
            <w:vAlign w:val="center"/>
          </w:tcPr>
          <w:p w14:paraId="690DC7C8"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p>
        </w:tc>
        <w:tc>
          <w:tcPr>
            <w:tcW w:w="776" w:type="pct"/>
            <w:shd w:val="clear" w:color="auto" w:fill="auto"/>
            <w:vAlign w:val="center"/>
          </w:tcPr>
          <w:p w14:paraId="50B63BB1"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8% hoặc nhiều hơn và</w:t>
            </w:r>
          </w:p>
        </w:tc>
        <w:tc>
          <w:tcPr>
            <w:tcW w:w="860" w:type="pct"/>
            <w:shd w:val="clear" w:color="auto" w:fill="auto"/>
            <w:vAlign w:val="center"/>
          </w:tcPr>
          <w:p w14:paraId="7A1CCEB0"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6% hoặc nhiều hơn và</w:t>
            </w:r>
          </w:p>
        </w:tc>
        <w:tc>
          <w:tcPr>
            <w:tcW w:w="861" w:type="pct"/>
            <w:shd w:val="clear" w:color="auto" w:fill="auto"/>
            <w:vAlign w:val="center"/>
          </w:tcPr>
          <w:p w14:paraId="3E322A87"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4,5% hoặc nhiều hơn</w:t>
            </w:r>
          </w:p>
        </w:tc>
        <w:tc>
          <w:tcPr>
            <w:tcW w:w="1734" w:type="pct"/>
            <w:shd w:val="clear" w:color="auto" w:fill="auto"/>
            <w:vAlign w:val="center"/>
          </w:tcPr>
          <w:p w14:paraId="259648CC"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Không phải áp dụng PCA.</w:t>
            </w:r>
          </w:p>
        </w:tc>
      </w:tr>
      <w:tr w:rsidR="004D2F23" w:rsidRPr="004D2F23" w14:paraId="5797CE24" w14:textId="77777777" w:rsidTr="002D39C7">
        <w:tc>
          <w:tcPr>
            <w:tcW w:w="770" w:type="pct"/>
            <w:shd w:val="clear" w:color="auto" w:fill="auto"/>
            <w:vAlign w:val="center"/>
          </w:tcPr>
          <w:p w14:paraId="17EBDAE1"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Loại 1</w:t>
            </w:r>
          </w:p>
        </w:tc>
        <w:tc>
          <w:tcPr>
            <w:tcW w:w="776" w:type="pct"/>
            <w:shd w:val="clear" w:color="auto" w:fill="auto"/>
            <w:vAlign w:val="center"/>
          </w:tcPr>
          <w:p w14:paraId="4E3897E5"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Từ 4% đến dưới 8% hoặc</w:t>
            </w:r>
          </w:p>
        </w:tc>
        <w:tc>
          <w:tcPr>
            <w:tcW w:w="860" w:type="pct"/>
            <w:shd w:val="clear" w:color="auto" w:fill="auto"/>
            <w:vAlign w:val="center"/>
          </w:tcPr>
          <w:p w14:paraId="6C2801D5"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Từ 3% đến dưới 6% hoặc</w:t>
            </w:r>
          </w:p>
        </w:tc>
        <w:tc>
          <w:tcPr>
            <w:tcW w:w="861" w:type="pct"/>
            <w:shd w:val="clear" w:color="auto" w:fill="auto"/>
            <w:vAlign w:val="center"/>
          </w:tcPr>
          <w:p w14:paraId="55DB39D2"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Từ 2,25% đến dưới 4,5%</w:t>
            </w:r>
          </w:p>
        </w:tc>
        <w:tc>
          <w:tcPr>
            <w:tcW w:w="1734" w:type="pct"/>
            <w:shd w:val="clear" w:color="auto" w:fill="auto"/>
            <w:vAlign w:val="center"/>
          </w:tcPr>
          <w:p w14:paraId="5646076D"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Đệ trình kế hoạch cải thiện hoạt động kinh doanh bao gồm các biện pháp tái cấp vốn và yêu cầu thực hiện kế hoạch đó.</w:t>
            </w:r>
          </w:p>
        </w:tc>
      </w:tr>
      <w:tr w:rsidR="004D2F23" w:rsidRPr="004D2F23" w14:paraId="456D5CF2" w14:textId="77777777" w:rsidTr="002D39C7">
        <w:tc>
          <w:tcPr>
            <w:tcW w:w="770" w:type="pct"/>
            <w:shd w:val="clear" w:color="auto" w:fill="auto"/>
            <w:vAlign w:val="center"/>
          </w:tcPr>
          <w:p w14:paraId="75CC2A58"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Loại 2</w:t>
            </w:r>
          </w:p>
        </w:tc>
        <w:tc>
          <w:tcPr>
            <w:tcW w:w="776" w:type="pct"/>
            <w:shd w:val="clear" w:color="auto" w:fill="auto"/>
            <w:vAlign w:val="center"/>
          </w:tcPr>
          <w:p w14:paraId="3481680F"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lang w:val="vi-VN"/>
              </w:rPr>
            </w:pPr>
            <w:r w:rsidRPr="004D2F23">
              <w:rPr>
                <w:rFonts w:ascii="Times New Roman" w:hAnsi="Times New Roman" w:cs="Times New Roman"/>
                <w:sz w:val="28"/>
                <w:szCs w:val="28"/>
              </w:rPr>
              <w:t>Từ 2% đến dưới 4% hoặc</w:t>
            </w:r>
          </w:p>
        </w:tc>
        <w:tc>
          <w:tcPr>
            <w:tcW w:w="860" w:type="pct"/>
            <w:shd w:val="clear" w:color="auto" w:fill="auto"/>
            <w:vAlign w:val="center"/>
          </w:tcPr>
          <w:p w14:paraId="6381C51D"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lang w:val="vi-VN"/>
              </w:rPr>
            </w:pPr>
            <w:r w:rsidRPr="004D2F23">
              <w:rPr>
                <w:rFonts w:ascii="Times New Roman" w:hAnsi="Times New Roman" w:cs="Times New Roman"/>
                <w:sz w:val="28"/>
                <w:szCs w:val="28"/>
              </w:rPr>
              <w:t>Từ 1,5% đến dưới 3% hoặc</w:t>
            </w:r>
          </w:p>
        </w:tc>
        <w:tc>
          <w:tcPr>
            <w:tcW w:w="861" w:type="pct"/>
            <w:shd w:val="clear" w:color="auto" w:fill="auto"/>
            <w:vAlign w:val="center"/>
          </w:tcPr>
          <w:p w14:paraId="0473D62F"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Từ 1,13% đến dưới 2,25%</w:t>
            </w:r>
          </w:p>
        </w:tc>
        <w:tc>
          <w:tcPr>
            <w:tcW w:w="1734" w:type="pct"/>
            <w:shd w:val="clear" w:color="auto" w:fill="auto"/>
            <w:vAlign w:val="center"/>
          </w:tcPr>
          <w:p w14:paraId="6AEC8B15"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Trình và thực hiện kế hoạch tái cấp vốn;</w:t>
            </w:r>
          </w:p>
          <w:p w14:paraId="0FA0A5CF"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Cấm hoặc hạn chế chia cổ tức/trả thưởng;</w:t>
            </w:r>
          </w:p>
          <w:p w14:paraId="2105AF5F"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Hạn chế gia tăng tài sản hoặc yêu cầu giảm tài sản;</w:t>
            </w:r>
          </w:p>
          <w:p w14:paraId="722599B0"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Cấm/hạn chế chấp nhận tiền gửi chi phí cao;</w:t>
            </w:r>
          </w:p>
          <w:p w14:paraId="2785EE66"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Thu hẹp một số hoạt động nhất định;</w:t>
            </w:r>
          </w:p>
          <w:p w14:paraId="58178377"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lastRenderedPageBreak/>
              <w:t>Đóng cửa hoạt động (trừ trụ sở chính);</w:t>
            </w:r>
          </w:p>
          <w:p w14:paraId="191B3FDA"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Các biện pháp khác.</w:t>
            </w:r>
          </w:p>
        </w:tc>
      </w:tr>
      <w:tr w:rsidR="004D2F23" w:rsidRPr="004D2F23" w14:paraId="68BA4A22" w14:textId="77777777" w:rsidTr="002D39C7">
        <w:tc>
          <w:tcPr>
            <w:tcW w:w="770" w:type="pct"/>
            <w:shd w:val="clear" w:color="auto" w:fill="auto"/>
            <w:vAlign w:val="center"/>
          </w:tcPr>
          <w:p w14:paraId="0F938616"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lastRenderedPageBreak/>
              <w:t>Loại 2.2</w:t>
            </w:r>
          </w:p>
        </w:tc>
        <w:tc>
          <w:tcPr>
            <w:tcW w:w="776" w:type="pct"/>
            <w:shd w:val="clear" w:color="auto" w:fill="auto"/>
            <w:vAlign w:val="center"/>
          </w:tcPr>
          <w:p w14:paraId="298BA920"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lang w:val="vi-VN"/>
              </w:rPr>
            </w:pPr>
            <w:r w:rsidRPr="004D2F23">
              <w:rPr>
                <w:rFonts w:ascii="Times New Roman" w:hAnsi="Times New Roman" w:cs="Times New Roman"/>
                <w:sz w:val="28"/>
                <w:szCs w:val="28"/>
              </w:rPr>
              <w:t>Từ 0 đến dưới 2% hoặc</w:t>
            </w:r>
          </w:p>
        </w:tc>
        <w:tc>
          <w:tcPr>
            <w:tcW w:w="860" w:type="pct"/>
            <w:shd w:val="clear" w:color="auto" w:fill="auto"/>
            <w:vAlign w:val="center"/>
          </w:tcPr>
          <w:p w14:paraId="6DE3EDC4"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lang w:val="vi-VN"/>
              </w:rPr>
            </w:pPr>
            <w:r w:rsidRPr="004D2F23">
              <w:rPr>
                <w:rFonts w:ascii="Times New Roman" w:hAnsi="Times New Roman" w:cs="Times New Roman"/>
                <w:sz w:val="28"/>
                <w:szCs w:val="28"/>
              </w:rPr>
              <w:t>Từ 0% đến dưới 1,5% hoặc</w:t>
            </w:r>
          </w:p>
        </w:tc>
        <w:tc>
          <w:tcPr>
            <w:tcW w:w="861" w:type="pct"/>
            <w:shd w:val="clear" w:color="auto" w:fill="auto"/>
            <w:vAlign w:val="center"/>
          </w:tcPr>
          <w:p w14:paraId="5C255A6F"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Từ 0% đến dưới 1,13%</w:t>
            </w:r>
          </w:p>
        </w:tc>
        <w:tc>
          <w:tcPr>
            <w:tcW w:w="1734" w:type="pct"/>
            <w:shd w:val="clear" w:color="auto" w:fill="auto"/>
            <w:vAlign w:val="center"/>
          </w:tcPr>
          <w:p w14:paraId="200B3343"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Yêu cầu thực hiện các biện pháp: tăng cường vốn của ngân hàng, thu hẹp quy mô hoạt động, sáp nhập ngân hàng hoặc rút giấy phép.</w:t>
            </w:r>
          </w:p>
        </w:tc>
      </w:tr>
      <w:tr w:rsidR="004D2F23" w:rsidRPr="004D2F23" w14:paraId="2D43DBA0" w14:textId="77777777" w:rsidTr="002D39C7">
        <w:tc>
          <w:tcPr>
            <w:tcW w:w="770" w:type="pct"/>
            <w:shd w:val="clear" w:color="auto" w:fill="auto"/>
            <w:vAlign w:val="center"/>
          </w:tcPr>
          <w:p w14:paraId="4DBAEE6A"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Loại 3</w:t>
            </w:r>
          </w:p>
        </w:tc>
        <w:tc>
          <w:tcPr>
            <w:tcW w:w="776" w:type="pct"/>
            <w:shd w:val="clear" w:color="auto" w:fill="auto"/>
            <w:vAlign w:val="center"/>
          </w:tcPr>
          <w:p w14:paraId="17594036"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rPr>
              <w:t>Dưới 0</w:t>
            </w:r>
          </w:p>
        </w:tc>
        <w:tc>
          <w:tcPr>
            <w:tcW w:w="860" w:type="pct"/>
            <w:shd w:val="clear" w:color="auto" w:fill="auto"/>
            <w:vAlign w:val="center"/>
          </w:tcPr>
          <w:p w14:paraId="56011A14"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lang w:val="vi-VN"/>
              </w:rPr>
            </w:pPr>
            <w:r w:rsidRPr="004D2F23">
              <w:rPr>
                <w:rFonts w:ascii="Times New Roman" w:hAnsi="Times New Roman" w:cs="Times New Roman"/>
                <w:sz w:val="28"/>
                <w:szCs w:val="28"/>
              </w:rPr>
              <w:t>Dưới 0</w:t>
            </w:r>
          </w:p>
        </w:tc>
        <w:tc>
          <w:tcPr>
            <w:tcW w:w="861" w:type="pct"/>
            <w:shd w:val="clear" w:color="auto" w:fill="auto"/>
            <w:vAlign w:val="center"/>
          </w:tcPr>
          <w:p w14:paraId="03524F88"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lang w:val="vi-VN"/>
              </w:rPr>
            </w:pPr>
            <w:r w:rsidRPr="004D2F23">
              <w:rPr>
                <w:rFonts w:ascii="Times New Roman" w:hAnsi="Times New Roman" w:cs="Times New Roman"/>
                <w:sz w:val="28"/>
                <w:szCs w:val="28"/>
              </w:rPr>
              <w:t>Dưới 0</w:t>
            </w:r>
          </w:p>
        </w:tc>
        <w:tc>
          <w:tcPr>
            <w:tcW w:w="1734" w:type="pct"/>
            <w:shd w:val="clear" w:color="auto" w:fill="auto"/>
            <w:vAlign w:val="center"/>
          </w:tcPr>
          <w:p w14:paraId="07C1B4DB" w14:textId="77777777" w:rsidR="00FE425C" w:rsidRPr="004D2F23" w:rsidRDefault="00FE425C" w:rsidP="002D39C7">
            <w:pPr>
              <w:pStyle w:val="ListParagraph"/>
              <w:tabs>
                <w:tab w:val="left" w:pos="284"/>
              </w:tabs>
              <w:ind w:left="0"/>
              <w:contextualSpacing w:val="0"/>
              <w:jc w:val="both"/>
              <w:rPr>
                <w:rFonts w:ascii="Times New Roman" w:hAnsi="Times New Roman" w:cs="Times New Roman"/>
                <w:sz w:val="28"/>
                <w:szCs w:val="28"/>
                <w:lang w:val="vi-VN"/>
              </w:rPr>
            </w:pPr>
            <w:r w:rsidRPr="004D2F23">
              <w:rPr>
                <w:rFonts w:ascii="Times New Roman" w:hAnsi="Times New Roman" w:cs="Times New Roman"/>
                <w:sz w:val="28"/>
                <w:szCs w:val="28"/>
              </w:rPr>
              <w:t>Đình chỉ toàn bộ hoặc một phần hoạt động kinh doanh của ngân hàng.</w:t>
            </w:r>
          </w:p>
        </w:tc>
      </w:tr>
    </w:tbl>
    <w:p w14:paraId="1F4D5E16" w14:textId="77777777" w:rsidR="00FE425C" w:rsidRPr="004D2F23" w:rsidRDefault="00FE425C" w:rsidP="00FE425C">
      <w:pPr>
        <w:pStyle w:val="ListParagraph"/>
        <w:tabs>
          <w:tab w:val="left" w:pos="284"/>
        </w:tabs>
        <w:spacing w:after="120" w:line="276" w:lineRule="auto"/>
        <w:ind w:left="0"/>
        <w:contextualSpacing w:val="0"/>
        <w:jc w:val="center"/>
        <w:rPr>
          <w:rFonts w:ascii="Times New Roman" w:hAnsi="Times New Roman" w:cs="Times New Roman"/>
          <w:i/>
          <w:iCs/>
          <w:sz w:val="28"/>
          <w:szCs w:val="28"/>
        </w:rPr>
      </w:pPr>
      <w:r w:rsidRPr="004D2F23">
        <w:rPr>
          <w:rFonts w:ascii="Times New Roman" w:hAnsi="Times New Roman" w:cs="Times New Roman"/>
          <w:i/>
          <w:iCs/>
          <w:sz w:val="28"/>
          <w:szCs w:val="28"/>
        </w:rPr>
        <w:t>Nguồn: Nghiên cứu của FSI về thực thi chính sách số 6, Cơ chế can thiệp sớm ngân hàng yếu kém, tháng 4/2018</w:t>
      </w:r>
    </w:p>
    <w:p w14:paraId="761F3BD5" w14:textId="77777777"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 xml:space="preserve">Trong khi đó, các ngân hàng nội địa phải duy trì tỷ lệ </w:t>
      </w:r>
      <w:proofErr w:type="gramStart"/>
      <w:r w:rsidRPr="004D2F23">
        <w:rPr>
          <w:rFonts w:ascii="Times New Roman" w:hAnsi="Times New Roman" w:cs="Times New Roman"/>
          <w:sz w:val="28"/>
          <w:szCs w:val="28"/>
        </w:rPr>
        <w:t>an</w:t>
      </w:r>
      <w:proofErr w:type="gramEnd"/>
      <w:r w:rsidRPr="004D2F23">
        <w:rPr>
          <w:rFonts w:ascii="Times New Roman" w:hAnsi="Times New Roman" w:cs="Times New Roman"/>
          <w:sz w:val="28"/>
          <w:szCs w:val="28"/>
        </w:rPr>
        <w:t xml:space="preserve"> toàn vốn ở mức nhất định nhưng thấp hơn so với tiêu chuẩn quốc tế kể trên.</w:t>
      </w:r>
    </w:p>
    <w:p w14:paraId="274747AA" w14:textId="77777777"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trike/>
          <w:sz w:val="28"/>
          <w:szCs w:val="28"/>
        </w:rPr>
      </w:pPr>
      <w:r w:rsidRPr="004D2F23">
        <w:rPr>
          <w:rFonts w:ascii="Times New Roman" w:hAnsi="Times New Roman" w:cs="Times New Roman"/>
          <w:sz w:val="28"/>
          <w:szCs w:val="28"/>
        </w:rPr>
        <w:t>Bên cạnh các thẩm quyền nêu trên, cơ quan giám sát có quyền cách chức ban quản lý ngân hàng và hội đồng quản trị thông qua sắc lệnh của Thủ tướng.</w:t>
      </w:r>
    </w:p>
    <w:p w14:paraId="74950891" w14:textId="77777777" w:rsidR="00FE425C" w:rsidRPr="004D2F23" w:rsidRDefault="00FE425C" w:rsidP="00FE425C">
      <w:pPr>
        <w:pStyle w:val="Heading3"/>
        <w:spacing w:before="120" w:after="120" w:line="360" w:lineRule="exact"/>
        <w:ind w:firstLine="709"/>
        <w:jc w:val="both"/>
        <w:rPr>
          <w:rFonts w:ascii="Times New Roman" w:hAnsi="Times New Roman"/>
          <w:b w:val="0"/>
          <w:bCs w:val="0"/>
          <w:i/>
          <w:iCs/>
          <w:sz w:val="28"/>
          <w:szCs w:val="28"/>
          <w:lang w:val="vi-VN"/>
        </w:rPr>
      </w:pPr>
      <w:bookmarkStart w:id="7" w:name="_Toc181274308"/>
      <w:bookmarkStart w:id="8" w:name="_Toc184511524"/>
      <w:r w:rsidRPr="004D2F23">
        <w:rPr>
          <w:rFonts w:ascii="Times New Roman" w:hAnsi="Times New Roman"/>
          <w:b w:val="0"/>
          <w:bCs w:val="0"/>
          <w:i/>
          <w:iCs/>
          <w:sz w:val="28"/>
          <w:szCs w:val="28"/>
        </w:rPr>
        <w:t>c</w:t>
      </w:r>
      <w:r w:rsidRPr="004D2F23">
        <w:rPr>
          <w:rFonts w:ascii="Times New Roman" w:hAnsi="Times New Roman"/>
          <w:b w:val="0"/>
          <w:bCs w:val="0"/>
          <w:i/>
          <w:iCs/>
          <w:sz w:val="28"/>
          <w:szCs w:val="28"/>
          <w:lang w:val="vi-VN"/>
        </w:rPr>
        <w:t>. Thời gian thực hiện</w:t>
      </w:r>
      <w:bookmarkEnd w:id="7"/>
      <w:bookmarkEnd w:id="8"/>
    </w:p>
    <w:p w14:paraId="14768B47" w14:textId="77777777"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Thời gian để thực hiện PCA là 01 năm</w:t>
      </w:r>
      <w:r w:rsidRPr="004D2F23">
        <w:rPr>
          <w:rFonts w:ascii="Times New Roman" w:hAnsi="Times New Roman" w:cs="Times New Roman"/>
          <w:sz w:val="28"/>
          <w:szCs w:val="28"/>
          <w:vertAlign w:val="superscript"/>
        </w:rPr>
        <w:footnoteReference w:id="6"/>
      </w:r>
      <w:r w:rsidRPr="004D2F23">
        <w:rPr>
          <w:rFonts w:ascii="Times New Roman" w:hAnsi="Times New Roman" w:cs="Times New Roman"/>
          <w:sz w:val="28"/>
          <w:szCs w:val="28"/>
        </w:rPr>
        <w:t>.</w:t>
      </w:r>
    </w:p>
    <w:p w14:paraId="22C9EC26" w14:textId="5FF90848" w:rsidR="00FE425C" w:rsidRPr="004D2F23" w:rsidRDefault="00FE425C" w:rsidP="00FE425C">
      <w:pPr>
        <w:pStyle w:val="Heading2"/>
        <w:spacing w:before="120" w:after="120" w:line="360" w:lineRule="exact"/>
        <w:ind w:firstLine="709"/>
        <w:jc w:val="both"/>
        <w:rPr>
          <w:rFonts w:ascii="Times New Roman" w:hAnsi="Times New Roman"/>
          <w:b/>
          <w:bCs/>
          <w:i w:val="0"/>
          <w:iCs w:val="0"/>
          <w:color w:val="auto"/>
          <w:sz w:val="28"/>
          <w:szCs w:val="28"/>
        </w:rPr>
      </w:pPr>
      <w:bookmarkStart w:id="9" w:name="_Toc181274310"/>
      <w:bookmarkStart w:id="10" w:name="_Toc184511526"/>
      <w:r w:rsidRPr="004D2F23">
        <w:rPr>
          <w:rFonts w:ascii="Times New Roman" w:hAnsi="Times New Roman"/>
          <w:b/>
          <w:bCs/>
          <w:i w:val="0"/>
          <w:color w:val="auto"/>
          <w:sz w:val="28"/>
          <w:szCs w:val="28"/>
          <w:lang w:val="en-US"/>
        </w:rPr>
        <w:t>1.3.</w:t>
      </w:r>
      <w:r w:rsidRPr="004D2F23">
        <w:rPr>
          <w:rFonts w:ascii="Times New Roman" w:hAnsi="Times New Roman"/>
          <w:b/>
          <w:bCs/>
          <w:i w:val="0"/>
          <w:color w:val="auto"/>
          <w:sz w:val="28"/>
          <w:szCs w:val="28"/>
        </w:rPr>
        <w:t xml:space="preserve"> Giai đoạn xử lý </w:t>
      </w:r>
      <w:bookmarkEnd w:id="9"/>
      <w:bookmarkEnd w:id="10"/>
    </w:p>
    <w:p w14:paraId="377540FA" w14:textId="77777777" w:rsidR="00FE425C" w:rsidRPr="004D2F23" w:rsidRDefault="00FE425C" w:rsidP="00FE425C">
      <w:pPr>
        <w:pStyle w:val="Heading3"/>
        <w:spacing w:before="120" w:after="120" w:line="360" w:lineRule="exact"/>
        <w:ind w:firstLine="709"/>
        <w:jc w:val="both"/>
        <w:rPr>
          <w:rFonts w:ascii="Times New Roman" w:hAnsi="Times New Roman"/>
          <w:b w:val="0"/>
          <w:bCs w:val="0"/>
          <w:i/>
          <w:iCs/>
          <w:sz w:val="28"/>
          <w:szCs w:val="28"/>
          <w:lang w:val="vi-VN"/>
        </w:rPr>
      </w:pPr>
      <w:bookmarkStart w:id="11" w:name="_Toc181274311"/>
      <w:bookmarkStart w:id="12" w:name="_Toc184511527"/>
      <w:r w:rsidRPr="004D2F23">
        <w:rPr>
          <w:rFonts w:ascii="Times New Roman" w:hAnsi="Times New Roman"/>
          <w:b w:val="0"/>
          <w:bCs w:val="0"/>
          <w:i/>
          <w:iCs/>
          <w:sz w:val="28"/>
          <w:szCs w:val="28"/>
        </w:rPr>
        <w:t>a</w:t>
      </w:r>
      <w:r w:rsidRPr="004D2F23">
        <w:rPr>
          <w:rFonts w:ascii="Times New Roman" w:hAnsi="Times New Roman"/>
          <w:b w:val="0"/>
          <w:bCs w:val="0"/>
          <w:i/>
          <w:iCs/>
          <w:sz w:val="28"/>
          <w:szCs w:val="28"/>
          <w:lang w:val="vi-VN"/>
        </w:rPr>
        <w:t>. Thẩm quyền quyết định xử lý</w:t>
      </w:r>
      <w:bookmarkEnd w:id="11"/>
      <w:bookmarkEnd w:id="12"/>
    </w:p>
    <w:p w14:paraId="284A8220" w14:textId="77777777"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 xml:space="preserve">Nhật Bản có ba cơ chế xử lý TCTC yếu kém, bao gồm “cơ chế BHTG có hạn mức”, “biện pháp ngăn ngừa khủng hoảng tài chính” và “biện pháp xử lý theo trật tự”. </w:t>
      </w:r>
    </w:p>
    <w:p w14:paraId="4D6ECE28" w14:textId="77777777"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TCTC bị đổ vỡ được phân loại thành tổ chức không mang tầm quan trọng hệ thống và mang tầm quan trọng hệ thống (xử lý khủng hoảng) để xác định biện pháp xử lý phù hợp. Theo đó, FSA có thẩm quyền quyết định áp dụng các biện pháp xử lý đối với TCTC không mang tầm quan trọng hệ thống (áp dụng “cơ chế BHTG có hạn mức”) và Thủ tướng có thẩm quyền quyết định áp dụng các biện pháp xử lý đối với TCTC có tầm quan trọng hệ thống (“biện pháp ngăn ngừa khủng hoảng tài chính” và “biện pháp xử lý theo trật tự”).</w:t>
      </w:r>
    </w:p>
    <w:p w14:paraId="2EE7A7C7" w14:textId="18645ED4"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 xml:space="preserve">Thủ tướng quyết định áp dụng cơ chế xử lý, sau khi thảo luận với Hội đồng ứng phó khủng hoảng tài chính (FSRC), bao gồm Thủ tướng, Chánh Văn phòng Nội các, </w:t>
      </w:r>
      <w:r w:rsidRPr="004D2F23">
        <w:rPr>
          <w:rFonts w:ascii="Times New Roman" w:hAnsi="Times New Roman" w:cs="Times New Roman"/>
          <w:sz w:val="28"/>
          <w:szCs w:val="28"/>
        </w:rPr>
        <w:lastRenderedPageBreak/>
        <w:t xml:space="preserve">Bộ trưởng Bộ Dịch vụ Tài chính, Bộ trưởng Bộ Tài chính, Chủ tịch </w:t>
      </w:r>
      <w:r w:rsidR="000B70C3" w:rsidRPr="004D2F23">
        <w:rPr>
          <w:rFonts w:ascii="Times New Roman" w:hAnsi="Times New Roman" w:cs="Times New Roman"/>
          <w:sz w:val="28"/>
          <w:szCs w:val="28"/>
        </w:rPr>
        <w:t>FSA</w:t>
      </w:r>
      <w:r w:rsidRPr="004D2F23">
        <w:rPr>
          <w:rFonts w:ascii="Times New Roman" w:hAnsi="Times New Roman" w:cs="Times New Roman"/>
          <w:sz w:val="28"/>
          <w:szCs w:val="28"/>
        </w:rPr>
        <w:t xml:space="preserve"> và Thống đốc Ngân hàng Trung ương Nhật Bản. FSA quy định chính sách xử lý và thực hiện lập kế hoạch xử lý, đồng thời phối hợp với Tổng công ty Bảo hiểm tiền gửi (BHTG) Nhật Bản (DICJ) và Ngân hàng Trung ương Nhật Bản về các khía cạnh hoạt động. Cơ quan này cũng cung cấp thông tin cần thiết để Thủ tướng quyết định áp dụng các biện pháp xử lý và chịu trách nhiệm thực hiện xử lý, bao gồm việc ban hành quyết định đặt hoạt động kinh doanh và tài sản của một TCTC đổ vỡ dưới sự quản lý của DICJ.</w:t>
      </w:r>
      <w:r w:rsidRPr="004D2F23">
        <w:rPr>
          <w:rFonts w:ascii="Times New Roman" w:hAnsi="Times New Roman" w:cs="Times New Roman"/>
          <w:sz w:val="28"/>
          <w:szCs w:val="28"/>
          <w:vertAlign w:val="superscript"/>
        </w:rPr>
        <w:footnoteReference w:id="7"/>
      </w:r>
    </w:p>
    <w:p w14:paraId="081C4F91" w14:textId="77777777"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i/>
          <w:iCs/>
          <w:sz w:val="28"/>
          <w:szCs w:val="28"/>
        </w:rPr>
      </w:pPr>
      <w:bookmarkStart w:id="13" w:name="_Toc184511528"/>
      <w:proofErr w:type="gramStart"/>
      <w:r w:rsidRPr="004D2F23">
        <w:rPr>
          <w:rFonts w:ascii="Times New Roman" w:hAnsi="Times New Roman" w:cs="Times New Roman"/>
          <w:i/>
          <w:iCs/>
          <w:sz w:val="28"/>
          <w:szCs w:val="28"/>
        </w:rPr>
        <w:t>b</w:t>
      </w:r>
      <w:proofErr w:type="gramEnd"/>
      <w:r w:rsidRPr="004D2F23">
        <w:rPr>
          <w:rFonts w:ascii="Times New Roman" w:hAnsi="Times New Roman" w:cs="Times New Roman"/>
          <w:i/>
          <w:iCs/>
          <w:sz w:val="28"/>
          <w:szCs w:val="28"/>
        </w:rPr>
        <w:t>. Điều kiện đặt vào xử lý</w:t>
      </w:r>
      <w:bookmarkEnd w:id="13"/>
    </w:p>
    <w:p w14:paraId="41253216" w14:textId="77777777"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 xml:space="preserve">Khi xảy ra sự kiện thuộc 1 trong 2 loại sau: </w:t>
      </w:r>
    </w:p>
    <w:p w14:paraId="4AFF499D" w14:textId="77777777"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 xml:space="preserve">(i) Tổ chức tài chính tạm dừng trả tiền gửi tiết kiệm cho khách hàng, v.v; hoặc </w:t>
      </w:r>
    </w:p>
    <w:p w14:paraId="3EB7DAC9" w14:textId="77777777"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(ii) Hủy giấy phép kinh doanh, quyết định khởi động thủ tục phá sản hoặc có nghị quyết giải thể tổ chức tài chính.</w:t>
      </w:r>
    </w:p>
    <w:p w14:paraId="2E512730" w14:textId="77777777" w:rsidR="00FE425C" w:rsidRPr="004D2F23" w:rsidRDefault="00FE425C" w:rsidP="00FE425C">
      <w:pPr>
        <w:pStyle w:val="Heading3"/>
        <w:spacing w:before="120" w:after="120" w:line="360" w:lineRule="exact"/>
        <w:ind w:firstLine="709"/>
        <w:jc w:val="both"/>
        <w:rPr>
          <w:rFonts w:ascii="Times New Roman" w:hAnsi="Times New Roman"/>
          <w:b w:val="0"/>
          <w:bCs w:val="0"/>
          <w:i/>
          <w:iCs/>
          <w:sz w:val="28"/>
          <w:szCs w:val="28"/>
          <w:lang w:val="vi-VN"/>
        </w:rPr>
      </w:pPr>
      <w:bookmarkStart w:id="14" w:name="_Toc181274313"/>
      <w:bookmarkStart w:id="15" w:name="_Toc184511529"/>
      <w:r w:rsidRPr="004D2F23">
        <w:rPr>
          <w:rFonts w:ascii="Times New Roman" w:hAnsi="Times New Roman"/>
          <w:b w:val="0"/>
          <w:bCs w:val="0"/>
          <w:i/>
          <w:iCs/>
          <w:sz w:val="28"/>
          <w:szCs w:val="28"/>
        </w:rPr>
        <w:t>c</w:t>
      </w:r>
      <w:r w:rsidRPr="004D2F23">
        <w:rPr>
          <w:rFonts w:ascii="Times New Roman" w:hAnsi="Times New Roman"/>
          <w:b w:val="0"/>
          <w:bCs w:val="0"/>
          <w:i/>
          <w:iCs/>
          <w:sz w:val="28"/>
          <w:szCs w:val="28"/>
          <w:lang w:val="vi-VN"/>
        </w:rPr>
        <w:t>. Các biện pháp xử lý</w:t>
      </w:r>
      <w:bookmarkEnd w:id="14"/>
      <w:bookmarkEnd w:id="15"/>
    </w:p>
    <w:p w14:paraId="7A5931ED" w14:textId="77777777"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bCs/>
          <w:i/>
          <w:iCs/>
          <w:sz w:val="28"/>
          <w:szCs w:val="28"/>
        </w:rPr>
        <w:t>- Hỗ trợ tài chính</w:t>
      </w:r>
      <w:r w:rsidRPr="004D2F23">
        <w:rPr>
          <w:rFonts w:ascii="Times New Roman" w:hAnsi="Times New Roman" w:cs="Times New Roman"/>
          <w:iCs/>
          <w:sz w:val="28"/>
          <w:szCs w:val="28"/>
        </w:rPr>
        <w:t xml:space="preserve">: </w:t>
      </w:r>
      <w:r w:rsidRPr="004D2F23">
        <w:rPr>
          <w:rFonts w:ascii="Times New Roman" w:hAnsi="Times New Roman" w:cs="Times New Roman"/>
          <w:bCs/>
          <w:sz w:val="28"/>
          <w:szCs w:val="28"/>
        </w:rPr>
        <w:t>Điều 59</w:t>
      </w:r>
      <w:r w:rsidRPr="004D2F23">
        <w:rPr>
          <w:rFonts w:ascii="Times New Roman" w:hAnsi="Times New Roman" w:cs="Times New Roman"/>
          <w:sz w:val="28"/>
          <w:szCs w:val="28"/>
        </w:rPr>
        <w:t xml:space="preserve"> Luật BHTG quy định: (1) TCTC tiếp nhận có thể đăng ký để DICJ thực hiện các biện pháp được nêu dưới đây nhằm hỗ trợ hoạt động tiếp nhận: (i) Bơm vốn; (ii) Cho vay hoặc gửi tiền; (iii) Mua lại tài sản; (iv) Bảo lãnh các nghĩa vụ nợ; (v) Tiếp nhận các nghĩa vụ nợ; (vi) Mua cổ phiếu ưu đãi; và (vii) Bồi thường thiệt hại cho chủ nợ trong trường hợp nợ không được hoàn trả hoặc không được hoàn trả đầy đủ</w:t>
      </w:r>
      <w:r w:rsidRPr="004D2F23">
        <w:rPr>
          <w:rFonts w:ascii="Times New Roman" w:hAnsi="Times New Roman" w:cs="Times New Roman"/>
          <w:sz w:val="28"/>
          <w:szCs w:val="28"/>
          <w:vertAlign w:val="superscript"/>
        </w:rPr>
        <w:footnoteReference w:id="8"/>
      </w:r>
      <w:r w:rsidRPr="004D2F23">
        <w:rPr>
          <w:rFonts w:ascii="Times New Roman" w:hAnsi="Times New Roman" w:cs="Times New Roman"/>
          <w:sz w:val="28"/>
          <w:szCs w:val="28"/>
        </w:rPr>
        <w:t>.</w:t>
      </w:r>
    </w:p>
    <w:p w14:paraId="4ADD5AF7" w14:textId="77777777"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bCs/>
          <w:i/>
          <w:iCs/>
          <w:sz w:val="28"/>
          <w:szCs w:val="28"/>
        </w:rPr>
        <w:t>- Bơm vốn</w:t>
      </w:r>
      <w:r w:rsidRPr="004D2F23">
        <w:rPr>
          <w:rFonts w:ascii="Times New Roman" w:hAnsi="Times New Roman" w:cs="Times New Roman"/>
          <w:sz w:val="28"/>
          <w:szCs w:val="28"/>
        </w:rPr>
        <w:t>: DICJ sẽ thực hiện nhằm khôi phục lại tỷ lệ đủ vốn của TCTGBHTG bằng cách mua cổ phần thường, cổ phần ưu đãi hoặc trái phiếu thứ cấp và các công cụ tăng vốn khác mà tổ chức này hay các công ty nắm giữ tổ chức này sở hữu.</w:t>
      </w:r>
    </w:p>
    <w:p w14:paraId="28F797F7" w14:textId="77777777"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bCs/>
          <w:i/>
          <w:sz w:val="28"/>
          <w:szCs w:val="28"/>
        </w:rPr>
        <w:t>- NH Bắc cầu (NHBC)</w:t>
      </w:r>
      <w:r w:rsidRPr="004D2F23">
        <w:rPr>
          <w:rFonts w:ascii="Times New Roman" w:hAnsi="Times New Roman" w:cs="Times New Roman"/>
          <w:iCs/>
          <w:sz w:val="28"/>
          <w:szCs w:val="28"/>
        </w:rPr>
        <w:t xml:space="preserve">: </w:t>
      </w:r>
      <w:r w:rsidRPr="004D2F23">
        <w:rPr>
          <w:rFonts w:ascii="Times New Roman" w:hAnsi="Times New Roman" w:cs="Times New Roman"/>
          <w:sz w:val="28"/>
          <w:szCs w:val="28"/>
        </w:rPr>
        <w:t>nếu cần thiết, hoạt động kinh doanh của tổ chức bị đổ vỡ có thể chuyển giao cho 01 NHBC do DICJ thành lập, nhằm tạm thời tiếp nhận hoạt động kinh doanh của ngân hàng đổ vỡ. NHBC được sử dụng khi không tìm được TCTC tiếp nhận nào tại thời điểm đổ vỡ xảy ra, đóng vai trò như một cầu nối cho đến khi tìm ra một tổ chức tiếp nhận thích hợp.</w:t>
      </w:r>
    </w:p>
    <w:p w14:paraId="3D8D973A" w14:textId="77777777"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bCs/>
          <w:i/>
          <w:iCs/>
          <w:sz w:val="28"/>
          <w:szCs w:val="28"/>
        </w:rPr>
        <w:t>- Chi trả và thanh lý</w:t>
      </w:r>
      <w:r w:rsidRPr="004D2F23">
        <w:rPr>
          <w:rFonts w:ascii="Times New Roman" w:hAnsi="Times New Roman" w:cs="Times New Roman"/>
          <w:sz w:val="28"/>
          <w:szCs w:val="28"/>
        </w:rPr>
        <w:t>: DICJ sẽ tiến hành chi trả trong trường hợp TCTC bị đóng cửa và thanh lý. Có 02 loại chi trả bảo hiểm và chi trả tạm thời (có hạn mức).</w:t>
      </w:r>
    </w:p>
    <w:p w14:paraId="7BEF6442" w14:textId="77777777"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bCs/>
          <w:i/>
          <w:iCs/>
          <w:sz w:val="28"/>
          <w:szCs w:val="28"/>
        </w:rPr>
        <w:t>- Các biện pháp khác:</w:t>
      </w:r>
      <w:r w:rsidRPr="004D2F23">
        <w:rPr>
          <w:rFonts w:ascii="Times New Roman" w:hAnsi="Times New Roman" w:cs="Times New Roman"/>
          <w:sz w:val="28"/>
          <w:szCs w:val="28"/>
        </w:rPr>
        <w:t xml:space="preserve"> thực hiện các nghiệp vụ liên quan đến vai trò là cơ quan quản lý tài chính; BHTG và quản lý khủng hoảng đặc biệt để đối phó với khủng hoảng </w:t>
      </w:r>
      <w:r w:rsidRPr="004D2F23">
        <w:rPr>
          <w:rFonts w:ascii="Times New Roman" w:hAnsi="Times New Roman" w:cs="Times New Roman"/>
          <w:sz w:val="28"/>
          <w:szCs w:val="28"/>
        </w:rPr>
        <w:lastRenderedPageBreak/>
        <w:t>tài chính; Thực hiện các biện pháp xử lý có trật tự vì mục đích đảm bảo ổn định hệ thống tài chính…</w:t>
      </w:r>
    </w:p>
    <w:p w14:paraId="29E6302A" w14:textId="77777777" w:rsidR="00FE425C" w:rsidRPr="004D2F23" w:rsidRDefault="00FE425C" w:rsidP="00FE425C">
      <w:pPr>
        <w:pStyle w:val="Heading2"/>
        <w:spacing w:before="120" w:after="120" w:line="360" w:lineRule="exact"/>
        <w:ind w:firstLine="709"/>
        <w:jc w:val="both"/>
        <w:rPr>
          <w:rFonts w:ascii="Times New Roman" w:hAnsi="Times New Roman"/>
          <w:bCs/>
          <w:i w:val="0"/>
          <w:iCs w:val="0"/>
          <w:color w:val="auto"/>
          <w:sz w:val="28"/>
          <w:szCs w:val="28"/>
          <w:lang w:val="pl-PL"/>
        </w:rPr>
      </w:pPr>
      <w:bookmarkStart w:id="16" w:name="_Toc181274304"/>
      <w:bookmarkStart w:id="17" w:name="_Toc184511520"/>
      <w:r w:rsidRPr="004D2F23">
        <w:rPr>
          <w:rFonts w:ascii="Times New Roman" w:hAnsi="Times New Roman"/>
          <w:bCs/>
          <w:color w:val="auto"/>
          <w:sz w:val="28"/>
          <w:szCs w:val="28"/>
          <w:lang w:val="pl-PL"/>
        </w:rPr>
        <w:t xml:space="preserve">d. </w:t>
      </w:r>
      <w:bookmarkEnd w:id="16"/>
      <w:r w:rsidRPr="004D2F23">
        <w:rPr>
          <w:rFonts w:ascii="Times New Roman" w:hAnsi="Times New Roman"/>
          <w:bCs/>
          <w:color w:val="auto"/>
          <w:sz w:val="28"/>
          <w:szCs w:val="28"/>
          <w:lang w:val="pl-PL"/>
        </w:rPr>
        <w:t xml:space="preserve">Quy trình </w:t>
      </w:r>
      <w:bookmarkEnd w:id="17"/>
      <w:r w:rsidRPr="004D2F23">
        <w:rPr>
          <w:rFonts w:ascii="Times New Roman" w:hAnsi="Times New Roman"/>
          <w:bCs/>
          <w:color w:val="auto"/>
          <w:sz w:val="28"/>
          <w:szCs w:val="28"/>
          <w:lang w:val="pl-PL"/>
        </w:rPr>
        <w:t>xử lý</w:t>
      </w:r>
    </w:p>
    <w:p w14:paraId="7ED27C38" w14:textId="77777777"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bCs/>
          <w:i/>
          <w:iCs/>
          <w:sz w:val="28"/>
          <w:szCs w:val="28"/>
        </w:rPr>
      </w:pPr>
      <w:r w:rsidRPr="004D2F23">
        <w:rPr>
          <w:rFonts w:ascii="Times New Roman" w:hAnsi="Times New Roman" w:cs="Times New Roman"/>
          <w:bCs/>
          <w:i/>
          <w:iCs/>
          <w:sz w:val="28"/>
          <w:szCs w:val="28"/>
        </w:rPr>
        <w:t>- Trường hợp không có rủi ro hệ thống:</w:t>
      </w:r>
    </w:p>
    <w:p w14:paraId="6BF45CB0" w14:textId="77777777"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 xml:space="preserve">Khi FSA xác định một ngân hàng bị đổ vỡ, FSA sẽ chỉ định DICJ là cơ quan tiếp quản ngân hàng đổ vỡ. </w:t>
      </w:r>
    </w:p>
    <w:p w14:paraId="1894BEF5" w14:textId="0DE659AA"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 xml:space="preserve">Trong trường hợp bảo hiểm Loại 1 xảy ra (tổ chức tài chính tạm dừng trả tiền gửi tiết kiệm cho khách hàng), DICJ áp dụng một trong hai biện pháp sau: biện pháp chi trả tiền bảo hiểm, khi tổ chức BHTG chi trả tiền cho người gửi tiền; và biện pháp hỗ trợ </w:t>
      </w:r>
      <w:r w:rsidR="000B70C3" w:rsidRPr="004D2F23">
        <w:rPr>
          <w:rFonts w:ascii="Times New Roman" w:hAnsi="Times New Roman" w:cs="Times New Roman"/>
          <w:sz w:val="28"/>
          <w:szCs w:val="28"/>
        </w:rPr>
        <w:t>P&amp;A</w:t>
      </w:r>
      <w:r w:rsidRPr="004D2F23">
        <w:rPr>
          <w:rFonts w:ascii="Times New Roman" w:hAnsi="Times New Roman" w:cs="Times New Roman"/>
          <w:sz w:val="28"/>
          <w:szCs w:val="28"/>
        </w:rPr>
        <w:t xml:space="preserve">, theo đó hỗ trợ tài chính cho tổ chức tiếp nhận hoặc pháp nhân tiếp quản các khoản tiền gửi được bảo hiểm, v.v. của một tổ chức tài chính phá sản. Biện pháp </w:t>
      </w:r>
      <w:r w:rsidR="000B70C3" w:rsidRPr="004D2F23">
        <w:rPr>
          <w:rFonts w:ascii="Times New Roman" w:hAnsi="Times New Roman" w:cs="Times New Roman"/>
          <w:sz w:val="28"/>
          <w:szCs w:val="28"/>
        </w:rPr>
        <w:t>P&amp;A</w:t>
      </w:r>
      <w:r w:rsidRPr="004D2F23">
        <w:rPr>
          <w:rFonts w:ascii="Times New Roman" w:hAnsi="Times New Roman" w:cs="Times New Roman"/>
          <w:sz w:val="28"/>
          <w:szCs w:val="28"/>
        </w:rPr>
        <w:t xml:space="preserve"> được ưu tiên hơn so với chi trả vì </w:t>
      </w:r>
      <w:r w:rsidR="000B70C3" w:rsidRPr="004D2F23">
        <w:rPr>
          <w:rFonts w:ascii="Times New Roman" w:hAnsi="Times New Roman" w:cs="Times New Roman"/>
          <w:sz w:val="28"/>
          <w:szCs w:val="28"/>
        </w:rPr>
        <w:t>P&amp;A</w:t>
      </w:r>
      <w:r w:rsidRPr="004D2F23">
        <w:rPr>
          <w:rFonts w:ascii="Times New Roman" w:hAnsi="Times New Roman" w:cs="Times New Roman"/>
          <w:sz w:val="28"/>
          <w:szCs w:val="28"/>
        </w:rPr>
        <w:t xml:space="preserve"> thường hiệu quả hơn về chi phí và ít gây gián đoạn thị trường và nền kinh tế địa phương. DICJ hỗ trợ tài chính cho tổ chức tiếp nhận hoặc pháp nhân tiếp quản các khoản tiền gửi được bảo hiểm, v.v. của một tổ chức tài chính phá sản, với số tiền tối đa là chi phí ước tính cần thiết để áp dụng biện pháp chi trả.</w:t>
      </w:r>
    </w:p>
    <w:p w14:paraId="1D6E6997" w14:textId="77777777" w:rsidR="00FE425C" w:rsidRPr="004D2F23" w:rsidRDefault="00FE425C" w:rsidP="00FE425C">
      <w:pPr>
        <w:pStyle w:val="ListParagraph"/>
        <w:tabs>
          <w:tab w:val="left" w:pos="284"/>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 xml:space="preserve">Trong trường hợp bảo hiểm Loại 2 xảy ra (hủy giấy phép kinh doanh, quyết định khởi động thủ tục phá sản hoặc có nghị quyết giải thể tổ chức tài chính), phương pháp chi trả tiền bảo hiểm được áp dụng vì cơ chế tài chính của tổ chức tài chính bị đổ vỡ không được duy trì trong trường hợp này. </w:t>
      </w:r>
    </w:p>
    <w:p w14:paraId="2FD57C41" w14:textId="77777777" w:rsidR="00FE425C" w:rsidRPr="004D2F23" w:rsidRDefault="00FE425C" w:rsidP="00FE425C">
      <w:pPr>
        <w:spacing w:before="120" w:after="120" w:line="360" w:lineRule="exact"/>
        <w:ind w:firstLine="709"/>
        <w:rPr>
          <w:rFonts w:ascii="Times New Roman" w:hAnsi="Times New Roman" w:cs="Times New Roman"/>
          <w:sz w:val="28"/>
          <w:szCs w:val="28"/>
        </w:rPr>
      </w:pPr>
      <w:r w:rsidRPr="004D2F23">
        <w:rPr>
          <w:rFonts w:ascii="Times New Roman" w:hAnsi="Times New Roman" w:cs="Times New Roman"/>
          <w:sz w:val="28"/>
          <w:szCs w:val="28"/>
        </w:rPr>
        <w:t>Nhiệm vụ của DICJ trong quá trình xử lý bao gồm:</w:t>
      </w:r>
    </w:p>
    <w:p w14:paraId="2C0C9E82" w14:textId="77777777" w:rsidR="00FE425C" w:rsidRPr="004D2F23" w:rsidRDefault="00FE425C" w:rsidP="00FE425C">
      <w:pPr>
        <w:pStyle w:val="ListParagraph"/>
        <w:numPr>
          <w:ilvl w:val="2"/>
          <w:numId w:val="2"/>
        </w:numPr>
        <w:tabs>
          <w:tab w:val="clear" w:pos="2160"/>
          <w:tab w:val="left" w:pos="993"/>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Tiếp quản ngân hàng bị đổ vỡ ngay sau khi “quyết định đặt tổ chức tài chính vào tình trạng quản lý” được ban hành để chuẩn bị cho việc tiếp tục hoạt động</w:t>
      </w:r>
    </w:p>
    <w:p w14:paraId="7B29B358" w14:textId="77777777" w:rsidR="00FE425C" w:rsidRPr="004D2F23" w:rsidRDefault="00FE425C" w:rsidP="00FE425C">
      <w:pPr>
        <w:pStyle w:val="ListParagraph"/>
        <w:numPr>
          <w:ilvl w:val="2"/>
          <w:numId w:val="2"/>
        </w:numPr>
        <w:tabs>
          <w:tab w:val="clear" w:pos="2160"/>
          <w:tab w:val="left" w:pos="993"/>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Quản lý tổ chức tài chính phá sản để duy trì hoạt động</w:t>
      </w:r>
    </w:p>
    <w:p w14:paraId="09D23A2C" w14:textId="77777777" w:rsidR="00FE425C" w:rsidRPr="004D2F23" w:rsidRDefault="00FE425C" w:rsidP="00FE425C">
      <w:pPr>
        <w:pStyle w:val="ListParagraph"/>
        <w:numPr>
          <w:ilvl w:val="2"/>
          <w:numId w:val="2"/>
        </w:numPr>
        <w:tabs>
          <w:tab w:val="clear" w:pos="2160"/>
          <w:tab w:val="left" w:pos="993"/>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Chi trả tiền gửi được bảo hiểm</w:t>
      </w:r>
    </w:p>
    <w:p w14:paraId="610E5F8E" w14:textId="77777777" w:rsidR="00FE425C" w:rsidRPr="004D2F23" w:rsidRDefault="00FE425C" w:rsidP="00FE425C">
      <w:pPr>
        <w:pStyle w:val="ListParagraph"/>
        <w:numPr>
          <w:ilvl w:val="2"/>
          <w:numId w:val="2"/>
        </w:numPr>
        <w:tabs>
          <w:tab w:val="clear" w:pos="2160"/>
          <w:tab w:val="left" w:pos="993"/>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Quản lý tài sản tốt và xử lý tài sản xấu</w:t>
      </w:r>
    </w:p>
    <w:p w14:paraId="7F74C5EA" w14:textId="77777777" w:rsidR="00FE425C" w:rsidRPr="004D2F23" w:rsidRDefault="00FE425C" w:rsidP="00FE425C">
      <w:pPr>
        <w:pStyle w:val="ListParagraph"/>
        <w:numPr>
          <w:ilvl w:val="2"/>
          <w:numId w:val="2"/>
        </w:numPr>
        <w:tabs>
          <w:tab w:val="clear" w:pos="2160"/>
          <w:tab w:val="left" w:pos="993"/>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Tìm cách chuyển giao nhanh chóng hoạt động kinh doanh cho tổ chức tài chính tiếp nhận thông qua hỗ trợ tài chính</w:t>
      </w:r>
    </w:p>
    <w:p w14:paraId="3DD9A176" w14:textId="77777777" w:rsidR="00FE425C" w:rsidRPr="004D2F23" w:rsidRDefault="00FE425C" w:rsidP="00FE425C">
      <w:pPr>
        <w:pStyle w:val="ListParagraph"/>
        <w:numPr>
          <w:ilvl w:val="2"/>
          <w:numId w:val="2"/>
        </w:numPr>
        <w:tabs>
          <w:tab w:val="clear" w:pos="2160"/>
          <w:tab w:val="left" w:pos="993"/>
        </w:tabs>
        <w:spacing w:before="120" w:after="120" w:line="360" w:lineRule="exact"/>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Nộp đơn kiện dân sự và/hoặc cáo buộc hình sự</w:t>
      </w:r>
    </w:p>
    <w:p w14:paraId="611404A8" w14:textId="77777777" w:rsidR="00FE425C" w:rsidRPr="004D2F23" w:rsidRDefault="00FE425C" w:rsidP="00FE425C">
      <w:pPr>
        <w:pStyle w:val="ListParagraph"/>
        <w:tabs>
          <w:tab w:val="left" w:pos="284"/>
        </w:tabs>
        <w:spacing w:after="120" w:line="276" w:lineRule="auto"/>
        <w:ind w:left="0"/>
        <w:contextualSpacing w:val="0"/>
        <w:jc w:val="center"/>
        <w:rPr>
          <w:rFonts w:ascii="Times New Roman" w:hAnsi="Times New Roman" w:cs="Times New Roman"/>
          <w:b/>
          <w:bCs/>
          <w:sz w:val="28"/>
          <w:szCs w:val="28"/>
        </w:rPr>
      </w:pPr>
      <w:r w:rsidRPr="004D2F23">
        <w:rPr>
          <w:rFonts w:ascii="Times New Roman" w:hAnsi="Times New Roman" w:cs="Times New Roman"/>
          <w:b/>
          <w:bCs/>
          <w:sz w:val="28"/>
          <w:szCs w:val="28"/>
        </w:rPr>
        <w:t>Quy trình xử lý thông thường (biện pháp P&amp;A)</w:t>
      </w:r>
    </w:p>
    <w:p w14:paraId="5803843C" w14:textId="41CB1B14" w:rsidR="00FE425C" w:rsidRPr="004D2F23" w:rsidRDefault="00FE425C" w:rsidP="00FE425C">
      <w:pPr>
        <w:pStyle w:val="ListParagraph"/>
        <w:tabs>
          <w:tab w:val="left" w:pos="284"/>
        </w:tabs>
        <w:spacing w:after="120" w:line="276" w:lineRule="auto"/>
        <w:ind w:left="0"/>
        <w:contextualSpacing w:val="0"/>
        <w:jc w:val="center"/>
        <w:rPr>
          <w:i/>
          <w:iCs/>
          <w:sz w:val="28"/>
          <w:szCs w:val="28"/>
        </w:rPr>
      </w:pPr>
      <w:r w:rsidRPr="004D2F23">
        <w:rPr>
          <w:i/>
          <w:noProof/>
          <w:sz w:val="28"/>
          <w:szCs w:val="28"/>
        </w:rPr>
        <w:lastRenderedPageBreak/>
        <w:drawing>
          <wp:inline distT="0" distB="0" distL="0" distR="0" wp14:anchorId="46559BED" wp14:editId="68C75314">
            <wp:extent cx="5947410" cy="56400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7410" cy="5640070"/>
                    </a:xfrm>
                    <a:prstGeom prst="rect">
                      <a:avLst/>
                    </a:prstGeom>
                    <a:noFill/>
                    <a:ln>
                      <a:noFill/>
                    </a:ln>
                  </pic:spPr>
                </pic:pic>
              </a:graphicData>
            </a:graphic>
          </wp:inline>
        </w:drawing>
      </w:r>
    </w:p>
    <w:p w14:paraId="19F4DE85" w14:textId="77777777" w:rsidR="00FE425C" w:rsidRPr="004D2F23" w:rsidRDefault="00FE425C" w:rsidP="00A26ADD">
      <w:pPr>
        <w:pStyle w:val="ListParagraph"/>
        <w:tabs>
          <w:tab w:val="left" w:pos="284"/>
        </w:tabs>
        <w:spacing w:before="120" w:after="120" w:line="276" w:lineRule="auto"/>
        <w:ind w:left="0" w:firstLine="709"/>
        <w:contextualSpacing w:val="0"/>
        <w:jc w:val="both"/>
        <w:rPr>
          <w:rFonts w:ascii="Times New Roman" w:hAnsi="Times New Roman" w:cs="Times New Roman"/>
          <w:bCs/>
          <w:i/>
          <w:iCs/>
          <w:sz w:val="28"/>
          <w:szCs w:val="28"/>
        </w:rPr>
      </w:pPr>
      <w:r w:rsidRPr="004D2F23">
        <w:rPr>
          <w:rFonts w:ascii="Times New Roman" w:hAnsi="Times New Roman" w:cs="Times New Roman"/>
          <w:bCs/>
          <w:i/>
          <w:iCs/>
          <w:sz w:val="28"/>
          <w:szCs w:val="28"/>
        </w:rPr>
        <w:t>- Trường hợp có rủi ro hệ thống:</w:t>
      </w:r>
    </w:p>
    <w:p w14:paraId="62095D4B" w14:textId="77777777" w:rsidR="00FE425C" w:rsidRPr="004D2F23" w:rsidRDefault="00FE425C" w:rsidP="00A26ADD">
      <w:pPr>
        <w:pStyle w:val="ListParagraph"/>
        <w:tabs>
          <w:tab w:val="left" w:pos="284"/>
        </w:tabs>
        <w:spacing w:before="120" w:after="120" w:line="276" w:lineRule="auto"/>
        <w:ind w:left="0" w:firstLine="709"/>
        <w:contextualSpacing w:val="0"/>
        <w:jc w:val="both"/>
        <w:rPr>
          <w:rFonts w:ascii="Times New Roman" w:hAnsi="Times New Roman" w:cs="Times New Roman"/>
          <w:iCs/>
          <w:sz w:val="28"/>
          <w:szCs w:val="28"/>
        </w:rPr>
      </w:pPr>
      <w:r w:rsidRPr="004D2F23">
        <w:rPr>
          <w:rFonts w:ascii="Times New Roman" w:hAnsi="Times New Roman" w:cs="Times New Roman"/>
          <w:iCs/>
          <w:sz w:val="28"/>
          <w:szCs w:val="28"/>
        </w:rPr>
        <w:t>Biện pháp ngăn ngừa khủng hoảng tài chính:</w:t>
      </w:r>
    </w:p>
    <w:p w14:paraId="1C4D034E" w14:textId="77777777" w:rsidR="00FE425C" w:rsidRPr="004D2F23" w:rsidRDefault="00FE425C" w:rsidP="00A26ADD">
      <w:pPr>
        <w:pStyle w:val="ListParagraph"/>
        <w:tabs>
          <w:tab w:val="left" w:pos="284"/>
        </w:tabs>
        <w:spacing w:before="120" w:after="120" w:line="276" w:lineRule="auto"/>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 xml:space="preserve">+ Điều kiện: Nếu vụ đổ vỡ ngân hàng có thể gây ảnh hưởng tiêu cực đến việc duy trì trật tự hệ thống tài chính trên toàn quốc hoặc 1 khu vực nhất định tại Nhật Bản, Hội đồng Ứng phó Khủng hoảng Tài chính sẽ quyết định áp dụng biện pháp ứng phó khủng hoảng tài chính. </w:t>
      </w:r>
    </w:p>
    <w:p w14:paraId="518480E1" w14:textId="77777777" w:rsidR="00FE425C" w:rsidRPr="004D2F23" w:rsidRDefault="00FE425C" w:rsidP="00A26ADD">
      <w:pPr>
        <w:pStyle w:val="ListParagraph"/>
        <w:tabs>
          <w:tab w:val="left" w:pos="284"/>
        </w:tabs>
        <w:spacing w:before="120" w:after="120" w:line="276" w:lineRule="auto"/>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 Biện pháp xử lý:</w:t>
      </w:r>
    </w:p>
    <w:p w14:paraId="635124C2" w14:textId="77777777" w:rsidR="00FE425C" w:rsidRPr="004D2F23" w:rsidRDefault="00FE425C" w:rsidP="00A26ADD">
      <w:pPr>
        <w:pStyle w:val="ListParagraph"/>
        <w:tabs>
          <w:tab w:val="left" w:pos="284"/>
        </w:tabs>
        <w:spacing w:before="120" w:after="120" w:line="276" w:lineRule="auto"/>
        <w:ind w:left="0"/>
        <w:contextualSpacing w:val="0"/>
        <w:jc w:val="center"/>
        <w:rPr>
          <w:rFonts w:ascii="Times New Roman" w:hAnsi="Times New Roman" w:cs="Times New Roman"/>
          <w:b/>
          <w:bCs/>
          <w:sz w:val="28"/>
          <w:szCs w:val="28"/>
        </w:rPr>
      </w:pPr>
      <w:r w:rsidRPr="004D2F23">
        <w:rPr>
          <w:rFonts w:ascii="Times New Roman" w:hAnsi="Times New Roman" w:cs="Times New Roman"/>
          <w:b/>
          <w:bCs/>
          <w:sz w:val="28"/>
          <w:szCs w:val="28"/>
        </w:rPr>
        <w:t>Tổng quan các biện pháp ngăn ngừa khủng hoảng tài chính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2249"/>
        <w:gridCol w:w="5190"/>
      </w:tblGrid>
      <w:tr w:rsidR="004D2F23" w:rsidRPr="004D2F23" w14:paraId="452CD312" w14:textId="77777777" w:rsidTr="002D39C7">
        <w:trPr>
          <w:trHeight w:val="219"/>
        </w:trPr>
        <w:tc>
          <w:tcPr>
            <w:tcW w:w="1097" w:type="pct"/>
            <w:shd w:val="clear" w:color="auto" w:fill="FFFFFF"/>
          </w:tcPr>
          <w:p w14:paraId="3AFC0B55" w14:textId="77777777" w:rsidR="00FE425C" w:rsidRPr="004D2F23" w:rsidRDefault="00FE425C" w:rsidP="00A26ADD">
            <w:pPr>
              <w:pStyle w:val="TableParagraph"/>
              <w:spacing w:line="276" w:lineRule="auto"/>
              <w:ind w:right="253" w:hanging="11"/>
              <w:jc w:val="center"/>
              <w:rPr>
                <w:b/>
                <w:bCs/>
                <w:sz w:val="28"/>
                <w:szCs w:val="28"/>
                <w:lang w:val="vi-VN"/>
              </w:rPr>
            </w:pPr>
            <w:r w:rsidRPr="004D2F23">
              <w:rPr>
                <w:b/>
                <w:bCs/>
                <w:sz w:val="28"/>
                <w:szCs w:val="28"/>
                <w:lang w:val="vi-VN"/>
              </w:rPr>
              <w:t>Biện pháp</w:t>
            </w:r>
          </w:p>
        </w:tc>
        <w:tc>
          <w:tcPr>
            <w:tcW w:w="1180" w:type="pct"/>
            <w:shd w:val="clear" w:color="auto" w:fill="FFFFFF"/>
          </w:tcPr>
          <w:p w14:paraId="724B8215" w14:textId="77777777" w:rsidR="00FE425C" w:rsidRPr="004D2F23" w:rsidRDefault="00FE425C" w:rsidP="00A26ADD">
            <w:pPr>
              <w:pStyle w:val="TableParagraph"/>
              <w:spacing w:line="276" w:lineRule="auto"/>
              <w:ind w:right="253" w:hanging="11"/>
              <w:jc w:val="center"/>
              <w:rPr>
                <w:b/>
                <w:bCs/>
                <w:sz w:val="28"/>
                <w:szCs w:val="28"/>
              </w:rPr>
            </w:pPr>
            <w:r w:rsidRPr="004D2F23">
              <w:rPr>
                <w:b/>
                <w:bCs/>
                <w:sz w:val="28"/>
                <w:szCs w:val="28"/>
              </w:rPr>
              <w:t xml:space="preserve">Đối tượng </w:t>
            </w:r>
          </w:p>
          <w:p w14:paraId="55CA6766" w14:textId="77777777" w:rsidR="00FE425C" w:rsidRPr="004D2F23" w:rsidRDefault="00FE425C" w:rsidP="00A26ADD">
            <w:pPr>
              <w:pStyle w:val="TableParagraph"/>
              <w:spacing w:line="276" w:lineRule="auto"/>
              <w:ind w:right="253" w:hanging="11"/>
              <w:jc w:val="center"/>
              <w:rPr>
                <w:b/>
                <w:bCs/>
                <w:sz w:val="28"/>
                <w:szCs w:val="28"/>
              </w:rPr>
            </w:pPr>
            <w:r w:rsidRPr="004D2F23">
              <w:rPr>
                <w:b/>
                <w:bCs/>
                <w:sz w:val="28"/>
                <w:szCs w:val="28"/>
              </w:rPr>
              <w:t>áp dụng*</w:t>
            </w:r>
          </w:p>
        </w:tc>
        <w:tc>
          <w:tcPr>
            <w:tcW w:w="2723" w:type="pct"/>
            <w:shd w:val="clear" w:color="auto" w:fill="FFFFFF"/>
          </w:tcPr>
          <w:p w14:paraId="50ED92FD" w14:textId="77777777" w:rsidR="00FE425C" w:rsidRPr="004D2F23" w:rsidRDefault="00FE425C" w:rsidP="00A26ADD">
            <w:pPr>
              <w:pStyle w:val="TableParagraph"/>
              <w:spacing w:line="276" w:lineRule="auto"/>
              <w:ind w:right="253" w:hanging="11"/>
              <w:jc w:val="center"/>
              <w:rPr>
                <w:b/>
                <w:bCs/>
                <w:sz w:val="28"/>
                <w:szCs w:val="28"/>
              </w:rPr>
            </w:pPr>
            <w:r w:rsidRPr="004D2F23">
              <w:rPr>
                <w:b/>
                <w:bCs/>
                <w:sz w:val="28"/>
                <w:szCs w:val="28"/>
              </w:rPr>
              <w:t>Thông tin chi tiết</w:t>
            </w:r>
          </w:p>
        </w:tc>
      </w:tr>
      <w:tr w:rsidR="004D2F23" w:rsidRPr="004D2F23" w14:paraId="7BCBFE1C" w14:textId="77777777" w:rsidTr="002D39C7">
        <w:trPr>
          <w:trHeight w:val="695"/>
        </w:trPr>
        <w:tc>
          <w:tcPr>
            <w:tcW w:w="1097" w:type="pct"/>
            <w:shd w:val="clear" w:color="auto" w:fill="FFFFFF"/>
          </w:tcPr>
          <w:p w14:paraId="63AA273D"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rPr>
              <w:lastRenderedPageBreak/>
              <w:t>i) Bơm vốn (Theo điều 102, phần (1), mục (i) Luật BHTG)</w:t>
            </w:r>
          </w:p>
        </w:tc>
        <w:tc>
          <w:tcPr>
            <w:tcW w:w="1180" w:type="pct"/>
          </w:tcPr>
          <w:p w14:paraId="11B036DD"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rPr>
              <w:t>Đối với với các tổ chức chưa đổ vỡ hoặc chưa mất khả năng thanh toán</w:t>
            </w:r>
          </w:p>
        </w:tc>
        <w:tc>
          <w:tcPr>
            <w:tcW w:w="2723" w:type="pct"/>
          </w:tcPr>
          <w:p w14:paraId="30357EBF"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rPr>
              <w:t>DICJ tăng cường nền tảng nguồn vốn của tổ chức tài chính được bảo hiểm (trừ những tổ chức đổ vỡ hoặc phá sản) bằng cách mua dài hạn cổ phiểu phổ thông, cổ phiếu ưu đãi … và các công cụ huy động vốn khác do các tổ chức tài chính hoặc công ty trực thuộc của tổ chức tài chính phát hành, dựa vào quyết định của Chủ tịch FSA.</w:t>
            </w:r>
          </w:p>
          <w:p w14:paraId="0F4C43A6"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rPr>
              <w:t>Trong trường hợp tổ chức tài chính được bảo hiểm là ngân hàng Lao động hoặc Ngân hàng Rokinren, cần có các quyết định của cố vấn FSA, và Bộ trưởng bộ Y tế, Lao động và Phúc lợi; trong trường hợp Ngân hàng Shoko Chukin, cần có quyết định của Chủ tịch FSA, Bộ trưởng Bộ Tài chính, Bộ trưởng bộ Kinh tế, Thương mại và Công Nghiệp.</w:t>
            </w:r>
          </w:p>
        </w:tc>
      </w:tr>
      <w:tr w:rsidR="004D2F23" w:rsidRPr="004D2F23" w14:paraId="0C8E9E07" w14:textId="77777777" w:rsidTr="002D39C7">
        <w:trPr>
          <w:trHeight w:val="708"/>
        </w:trPr>
        <w:tc>
          <w:tcPr>
            <w:tcW w:w="1097" w:type="pct"/>
            <w:shd w:val="clear" w:color="auto" w:fill="FFFFFF"/>
          </w:tcPr>
          <w:p w14:paraId="5BE06AF6"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rPr>
              <w:t>ii) Hỗ trợ tài chính với số tiền hỗ trợ vượt chi phí chi trả bảo hiểm (Theo điều 102, phần (1), mục (ii) Luật BHTG)</w:t>
            </w:r>
          </w:p>
        </w:tc>
        <w:tc>
          <w:tcPr>
            <w:tcW w:w="1180" w:type="pct"/>
          </w:tcPr>
          <w:p w14:paraId="4B7443B2"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rPr>
              <w:t>Đối với tổ chức đổ vỡ hoặc mất khả năng thanh toán</w:t>
            </w:r>
          </w:p>
        </w:tc>
        <w:tc>
          <w:tcPr>
            <w:tcW w:w="2723" w:type="pct"/>
          </w:tcPr>
          <w:p w14:paraId="4655E5D2"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rPr>
              <w:t xml:space="preserve">Trong trường hợp tổ chức tài chính được bảo hiểm đổ vỡ hoặc phá sản, DICJ có thể hỗ trợ tài chính với chi phí không vượt quá chi phí trả tiền bảo hiểm cho một tổ chức tài chính tiếp nhận hoặc sát nhập. Điều này giúp DICJ có thể bảo vệ toàn bộ tiền gửi và các yêu cầu bảo hiểm khác. </w:t>
            </w:r>
          </w:p>
          <w:p w14:paraId="685E812E"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rPr>
              <w:t>Khi biện pháp này được thực hiện, Chủ tịch FSA sẽ tiến hành quản lý chuyển nhượng theo trình tự.</w:t>
            </w:r>
          </w:p>
        </w:tc>
      </w:tr>
      <w:tr w:rsidR="004D2F23" w:rsidRPr="004D2F23" w14:paraId="4FC85A53" w14:textId="77777777" w:rsidTr="002D39C7">
        <w:trPr>
          <w:trHeight w:val="950"/>
        </w:trPr>
        <w:tc>
          <w:tcPr>
            <w:tcW w:w="1097" w:type="pct"/>
            <w:shd w:val="clear" w:color="auto" w:fill="FFFFFF"/>
          </w:tcPr>
          <w:p w14:paraId="56511DA0"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rPr>
              <w:t>iii) Quản lý khủng hoảng đặc biệt (Theo điều 102, phần (1), mục (iii) Luật BHTG)</w:t>
            </w:r>
          </w:p>
        </w:tc>
        <w:tc>
          <w:tcPr>
            <w:tcW w:w="1180" w:type="pct"/>
          </w:tcPr>
          <w:p w14:paraId="00EA6DFA"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rPr>
              <w:t>Đối với tổ chức đổ vỡ là các ngân hàng mất khả năng thanh toán</w:t>
            </w:r>
          </w:p>
        </w:tc>
        <w:tc>
          <w:tcPr>
            <w:tcW w:w="2723" w:type="pct"/>
          </w:tcPr>
          <w:p w14:paraId="3C89C40C"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rPr>
              <w:t>Quản lý khủng hoảng đặc biện có thể được thực hiện trong trường hợp tổ chức tài chính được bảo hiểm đổ vỡ là một tổ chức mất khả năng chi trả và khi thực hiện hỗ trợ tài chính không vượt quá chi phí chi trả bảo hiểm tiền gửi, tổ chức đó vẫn không có khả năng duy trì hệ thống tín dụng theo trật tự tài Nhật Bản hoặc một khu vực tại Nhật nơi ngân hàng được bảo hiểm đó hoạt động kinh doanh.</w:t>
            </w:r>
          </w:p>
          <w:p w14:paraId="0C32CAFE"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rPr>
              <w:t xml:space="preserve">Khi thực hiện quản lý khủng hoảng đặc biệt, DICJ tiếp nhận cổ phẩn của ngân hàng được </w:t>
            </w:r>
            <w:r w:rsidRPr="004D2F23">
              <w:rPr>
                <w:rFonts w:ascii="Times New Roman" w:hAnsi="Times New Roman" w:cs="Times New Roman"/>
                <w:sz w:val="28"/>
                <w:szCs w:val="28"/>
              </w:rPr>
              <w:lastRenderedPageBreak/>
              <w:t>bảo hiểm dựa trên quyết định của Chủ tịch FSA, và bổ nhiệm giám đốc, kiểm toán và cán bộ của ngân hàng được Chủ tịch FSA đề cử. Bên cạnh đó, DICJ thực hiện hỗ trợ tài chính cho các ngân hàng được bảo hiểm nhưng không tính vào chi phí chi trả bảo hiểm tiền gửi. Điều này cho phép DICJ bảo vệ toàn bộ tiền gửi và các yêu cầu khác.</w:t>
            </w:r>
          </w:p>
          <w:p w14:paraId="13A22DEB"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rPr>
              <w:t xml:space="preserve">DICJ quy định việc quản lý khủng hoảng đặc biệt nên chấm dứt càng sớm càng tốt bằng cách thực hiện sát nhập, chuyển giao kinh doanh, xử lý cổ phiếu hoặc chia tách công ty. </w:t>
            </w:r>
          </w:p>
        </w:tc>
      </w:tr>
    </w:tbl>
    <w:p w14:paraId="543E06B5" w14:textId="77777777" w:rsidR="00FE425C" w:rsidRPr="004D2F23" w:rsidRDefault="00FE425C" w:rsidP="00A26ADD">
      <w:pPr>
        <w:pStyle w:val="ListParagraph"/>
        <w:tabs>
          <w:tab w:val="left" w:pos="284"/>
        </w:tabs>
        <w:spacing w:after="120" w:line="276" w:lineRule="auto"/>
        <w:ind w:left="0"/>
        <w:contextualSpacing w:val="0"/>
        <w:jc w:val="both"/>
        <w:rPr>
          <w:rFonts w:ascii="Times New Roman" w:hAnsi="Times New Roman" w:cs="Times New Roman"/>
          <w:sz w:val="28"/>
          <w:szCs w:val="28"/>
        </w:rPr>
      </w:pPr>
      <w:r w:rsidRPr="004D2F23">
        <w:rPr>
          <w:rFonts w:ascii="Times New Roman" w:hAnsi="Times New Roman" w:cs="Times New Roman"/>
          <w:i/>
          <w:iCs/>
          <w:sz w:val="28"/>
          <w:szCs w:val="28"/>
        </w:rPr>
        <w:lastRenderedPageBreak/>
        <w:t xml:space="preserve">(* Chỉ áp dụng với các tổ chức tài chính nhận tiền </w:t>
      </w:r>
      <w:proofErr w:type="gramStart"/>
      <w:r w:rsidRPr="004D2F23">
        <w:rPr>
          <w:rFonts w:ascii="Times New Roman" w:hAnsi="Times New Roman" w:cs="Times New Roman"/>
          <w:i/>
          <w:iCs/>
          <w:sz w:val="28"/>
          <w:szCs w:val="28"/>
        </w:rPr>
        <w:t>gửi )</w:t>
      </w:r>
      <w:proofErr w:type="gramEnd"/>
    </w:p>
    <w:p w14:paraId="6A941E73" w14:textId="77777777" w:rsidR="00FE425C" w:rsidRPr="004D2F23" w:rsidRDefault="00FE425C" w:rsidP="00A26ADD">
      <w:pPr>
        <w:pStyle w:val="ListParagraph"/>
        <w:tabs>
          <w:tab w:val="left" w:pos="284"/>
        </w:tabs>
        <w:spacing w:before="120" w:after="120" w:line="276" w:lineRule="auto"/>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 xml:space="preserve">+ Chi phí xử lý: Phần chi phí vượt quá chi phí chi trả được chia sẻ với các tổ chức tài chính nhận tiền gửi, có thể bằng cách </w:t>
      </w:r>
      <w:proofErr w:type="gramStart"/>
      <w:r w:rsidRPr="004D2F23">
        <w:rPr>
          <w:rFonts w:ascii="Times New Roman" w:hAnsi="Times New Roman" w:cs="Times New Roman"/>
          <w:sz w:val="28"/>
          <w:szCs w:val="28"/>
        </w:rPr>
        <w:t>thu</w:t>
      </w:r>
      <w:proofErr w:type="gramEnd"/>
      <w:r w:rsidRPr="004D2F23">
        <w:rPr>
          <w:rFonts w:ascii="Times New Roman" w:hAnsi="Times New Roman" w:cs="Times New Roman"/>
          <w:sz w:val="28"/>
          <w:szCs w:val="28"/>
        </w:rPr>
        <w:t xml:space="preserve"> phí bổ sung.</w:t>
      </w:r>
    </w:p>
    <w:p w14:paraId="4F6113AB" w14:textId="77777777" w:rsidR="00FE425C" w:rsidRPr="004D2F23" w:rsidRDefault="00FE425C" w:rsidP="00A26ADD">
      <w:pPr>
        <w:pStyle w:val="ListParagraph"/>
        <w:tabs>
          <w:tab w:val="left" w:pos="284"/>
        </w:tabs>
        <w:spacing w:before="120" w:after="120" w:line="276" w:lineRule="auto"/>
        <w:ind w:left="0" w:firstLine="709"/>
        <w:contextualSpacing w:val="0"/>
        <w:jc w:val="both"/>
        <w:rPr>
          <w:rFonts w:ascii="Times New Roman" w:hAnsi="Times New Roman" w:cs="Times New Roman"/>
          <w:i/>
          <w:iCs/>
          <w:sz w:val="28"/>
          <w:szCs w:val="28"/>
        </w:rPr>
      </w:pPr>
      <w:r w:rsidRPr="004D2F23">
        <w:rPr>
          <w:rFonts w:ascii="Times New Roman" w:hAnsi="Times New Roman" w:cs="Times New Roman"/>
          <w:i/>
          <w:iCs/>
          <w:sz w:val="28"/>
          <w:szCs w:val="28"/>
        </w:rPr>
        <w:t xml:space="preserve">- Biện pháp xử lý </w:t>
      </w:r>
      <w:proofErr w:type="gramStart"/>
      <w:r w:rsidRPr="004D2F23">
        <w:rPr>
          <w:rFonts w:ascii="Times New Roman" w:hAnsi="Times New Roman" w:cs="Times New Roman"/>
          <w:i/>
          <w:iCs/>
          <w:sz w:val="28"/>
          <w:szCs w:val="28"/>
        </w:rPr>
        <w:t>theo</w:t>
      </w:r>
      <w:proofErr w:type="gramEnd"/>
      <w:r w:rsidRPr="004D2F23">
        <w:rPr>
          <w:rFonts w:ascii="Times New Roman" w:hAnsi="Times New Roman" w:cs="Times New Roman"/>
          <w:i/>
          <w:iCs/>
          <w:sz w:val="28"/>
          <w:szCs w:val="28"/>
        </w:rPr>
        <w:t xml:space="preserve"> trật tự:</w:t>
      </w:r>
    </w:p>
    <w:p w14:paraId="5A3C648E" w14:textId="77777777" w:rsidR="00FE425C" w:rsidRPr="004D2F23" w:rsidRDefault="00FE425C" w:rsidP="00A26ADD">
      <w:pPr>
        <w:pStyle w:val="ListParagraph"/>
        <w:tabs>
          <w:tab w:val="left" w:pos="284"/>
        </w:tabs>
        <w:spacing w:before="120" w:after="120" w:line="276" w:lineRule="auto"/>
        <w:ind w:left="0" w:firstLine="709"/>
        <w:contextualSpacing w:val="0"/>
        <w:jc w:val="both"/>
        <w:rPr>
          <w:rFonts w:ascii="Times New Roman" w:hAnsi="Times New Roman" w:cs="Times New Roman"/>
          <w:sz w:val="28"/>
          <w:szCs w:val="28"/>
        </w:rPr>
      </w:pPr>
      <w:r w:rsidRPr="004D2F23">
        <w:rPr>
          <w:rFonts w:ascii="Times New Roman" w:hAnsi="Times New Roman" w:cs="Times New Roman"/>
          <w:sz w:val="28"/>
          <w:szCs w:val="28"/>
        </w:rPr>
        <w:t>+ Điều kiện: Nếu vụ đổ vỡ có nguy cơ gây bất ổn nghiêm trọng đối với tới thị trường tài chính Nhật Bản hoặc thị trường tài chính khác, Hội đồng Ứng phó Khủng hoảng Tài chính sẽ quyết định áp dụng biện pháp xử lý theo trật tự.</w:t>
      </w:r>
    </w:p>
    <w:p w14:paraId="59EA88D5" w14:textId="77777777" w:rsidR="00FE425C" w:rsidRPr="004D2F23" w:rsidRDefault="00FE425C" w:rsidP="00A26ADD">
      <w:pPr>
        <w:pStyle w:val="ListParagraph"/>
        <w:tabs>
          <w:tab w:val="left" w:pos="284"/>
        </w:tabs>
        <w:spacing w:after="120" w:line="276" w:lineRule="auto"/>
        <w:ind w:left="0"/>
        <w:contextualSpacing w:val="0"/>
        <w:jc w:val="center"/>
        <w:rPr>
          <w:rFonts w:ascii="Times New Roman" w:hAnsi="Times New Roman" w:cs="Times New Roman"/>
          <w:b/>
          <w:bCs/>
          <w:sz w:val="28"/>
          <w:szCs w:val="28"/>
        </w:rPr>
      </w:pPr>
      <w:r w:rsidRPr="004D2F23">
        <w:rPr>
          <w:rFonts w:ascii="Times New Roman" w:hAnsi="Times New Roman" w:cs="Times New Roman"/>
          <w:b/>
          <w:bCs/>
          <w:sz w:val="28"/>
          <w:szCs w:val="28"/>
        </w:rPr>
        <w:t xml:space="preserve">Tổng quan các biện pháp xử lý </w:t>
      </w:r>
      <w:proofErr w:type="gramStart"/>
      <w:r w:rsidRPr="004D2F23">
        <w:rPr>
          <w:rFonts w:ascii="Times New Roman" w:hAnsi="Times New Roman" w:cs="Times New Roman"/>
          <w:b/>
          <w:bCs/>
          <w:sz w:val="28"/>
          <w:szCs w:val="28"/>
        </w:rPr>
        <w:t>theo</w:t>
      </w:r>
      <w:proofErr w:type="gramEnd"/>
      <w:r w:rsidRPr="004D2F23">
        <w:rPr>
          <w:rFonts w:ascii="Times New Roman" w:hAnsi="Times New Roman" w:cs="Times New Roman"/>
          <w:b/>
          <w:bCs/>
          <w:sz w:val="28"/>
          <w:szCs w:val="28"/>
        </w:rPr>
        <w:t xml:space="preserve"> trật tự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2268"/>
        <w:gridCol w:w="4768"/>
      </w:tblGrid>
      <w:tr w:rsidR="004D2F23" w:rsidRPr="004D2F23" w14:paraId="063267D6" w14:textId="77777777" w:rsidTr="002D39C7">
        <w:tc>
          <w:tcPr>
            <w:tcW w:w="1980" w:type="dxa"/>
            <w:shd w:val="clear" w:color="auto" w:fill="auto"/>
          </w:tcPr>
          <w:p w14:paraId="159026C7" w14:textId="77777777" w:rsidR="00FE425C" w:rsidRPr="004D2F23" w:rsidRDefault="00FE425C" w:rsidP="00A26ADD">
            <w:pPr>
              <w:pStyle w:val="ListParagraph"/>
              <w:tabs>
                <w:tab w:val="left" w:pos="284"/>
              </w:tabs>
              <w:spacing w:line="276" w:lineRule="auto"/>
              <w:ind w:left="0"/>
              <w:contextualSpacing w:val="0"/>
              <w:jc w:val="center"/>
              <w:rPr>
                <w:rFonts w:ascii="Times New Roman" w:hAnsi="Times New Roman" w:cs="Times New Roman"/>
                <w:b/>
                <w:bCs/>
                <w:sz w:val="28"/>
                <w:szCs w:val="28"/>
              </w:rPr>
            </w:pPr>
            <w:r w:rsidRPr="004D2F23">
              <w:rPr>
                <w:rFonts w:ascii="Times New Roman" w:hAnsi="Times New Roman" w:cs="Times New Roman"/>
                <w:b/>
                <w:bCs/>
                <w:sz w:val="28"/>
                <w:szCs w:val="28"/>
              </w:rPr>
              <w:t>Biện pháp</w:t>
            </w:r>
          </w:p>
        </w:tc>
        <w:tc>
          <w:tcPr>
            <w:tcW w:w="2268" w:type="dxa"/>
            <w:shd w:val="clear" w:color="auto" w:fill="auto"/>
          </w:tcPr>
          <w:p w14:paraId="562C5A23" w14:textId="77777777" w:rsidR="00FE425C" w:rsidRPr="004D2F23" w:rsidRDefault="00FE425C" w:rsidP="00A26ADD">
            <w:pPr>
              <w:pStyle w:val="ListParagraph"/>
              <w:tabs>
                <w:tab w:val="left" w:pos="284"/>
              </w:tabs>
              <w:spacing w:line="276" w:lineRule="auto"/>
              <w:ind w:left="0"/>
              <w:contextualSpacing w:val="0"/>
              <w:jc w:val="center"/>
              <w:rPr>
                <w:rFonts w:ascii="Times New Roman" w:hAnsi="Times New Roman" w:cs="Times New Roman"/>
                <w:b/>
                <w:bCs/>
                <w:sz w:val="28"/>
                <w:szCs w:val="28"/>
              </w:rPr>
            </w:pPr>
            <w:r w:rsidRPr="004D2F23">
              <w:rPr>
                <w:rFonts w:ascii="Times New Roman" w:hAnsi="Times New Roman" w:cs="Times New Roman"/>
                <w:b/>
                <w:bCs/>
                <w:sz w:val="28"/>
                <w:szCs w:val="28"/>
              </w:rPr>
              <w:t xml:space="preserve">Đối tượng </w:t>
            </w:r>
          </w:p>
          <w:p w14:paraId="7E8AD33E" w14:textId="77777777" w:rsidR="00FE425C" w:rsidRPr="004D2F23" w:rsidRDefault="00FE425C" w:rsidP="00A26ADD">
            <w:pPr>
              <w:pStyle w:val="ListParagraph"/>
              <w:tabs>
                <w:tab w:val="left" w:pos="284"/>
              </w:tabs>
              <w:spacing w:line="276" w:lineRule="auto"/>
              <w:ind w:left="0"/>
              <w:contextualSpacing w:val="0"/>
              <w:jc w:val="center"/>
              <w:rPr>
                <w:rFonts w:ascii="Times New Roman" w:hAnsi="Times New Roman" w:cs="Times New Roman"/>
                <w:b/>
                <w:bCs/>
                <w:sz w:val="28"/>
                <w:szCs w:val="28"/>
              </w:rPr>
            </w:pPr>
            <w:r w:rsidRPr="004D2F23">
              <w:rPr>
                <w:rFonts w:ascii="Times New Roman" w:hAnsi="Times New Roman" w:cs="Times New Roman"/>
                <w:b/>
                <w:bCs/>
                <w:sz w:val="28"/>
                <w:szCs w:val="28"/>
              </w:rPr>
              <w:t>áp dụng</w:t>
            </w:r>
            <w:r w:rsidRPr="004D2F23">
              <w:rPr>
                <w:rFonts w:ascii="Times New Roman" w:hAnsi="Times New Roman" w:cs="Times New Roman"/>
                <w:b/>
                <w:bCs/>
                <w:sz w:val="28"/>
                <w:szCs w:val="28"/>
              </w:rPr>
              <w:footnoteReference w:id="9"/>
            </w:r>
          </w:p>
        </w:tc>
        <w:tc>
          <w:tcPr>
            <w:tcW w:w="4768" w:type="dxa"/>
            <w:shd w:val="clear" w:color="auto" w:fill="auto"/>
          </w:tcPr>
          <w:p w14:paraId="2ED6EC42" w14:textId="77777777" w:rsidR="00FE425C" w:rsidRPr="004D2F23" w:rsidRDefault="00FE425C" w:rsidP="00A26ADD">
            <w:pPr>
              <w:pStyle w:val="ListParagraph"/>
              <w:tabs>
                <w:tab w:val="left" w:pos="284"/>
              </w:tabs>
              <w:spacing w:line="276" w:lineRule="auto"/>
              <w:ind w:left="0"/>
              <w:contextualSpacing w:val="0"/>
              <w:jc w:val="center"/>
              <w:rPr>
                <w:rFonts w:ascii="Times New Roman" w:hAnsi="Times New Roman" w:cs="Times New Roman"/>
                <w:b/>
                <w:bCs/>
                <w:sz w:val="28"/>
                <w:szCs w:val="28"/>
              </w:rPr>
            </w:pPr>
            <w:r w:rsidRPr="004D2F23">
              <w:rPr>
                <w:rFonts w:ascii="Times New Roman" w:hAnsi="Times New Roman" w:cs="Times New Roman"/>
                <w:b/>
                <w:bCs/>
                <w:sz w:val="28"/>
                <w:szCs w:val="28"/>
              </w:rPr>
              <w:t>Thông tin chi tiết</w:t>
            </w:r>
          </w:p>
        </w:tc>
      </w:tr>
      <w:tr w:rsidR="004D2F23" w:rsidRPr="004D2F23" w14:paraId="3BDBA63E" w14:textId="77777777" w:rsidTr="002D39C7">
        <w:tc>
          <w:tcPr>
            <w:tcW w:w="1980" w:type="dxa"/>
            <w:shd w:val="clear" w:color="auto" w:fill="auto"/>
          </w:tcPr>
          <w:p w14:paraId="56C637A2" w14:textId="77777777" w:rsidR="00FE425C" w:rsidRPr="004D2F23" w:rsidRDefault="00FE425C" w:rsidP="00A26ADD">
            <w:pPr>
              <w:spacing w:after="0" w:line="276" w:lineRule="auto"/>
              <w:ind w:hanging="11"/>
              <w:jc w:val="both"/>
              <w:rPr>
                <w:rFonts w:ascii="Times New Roman" w:hAnsi="Times New Roman" w:cs="Times New Roman"/>
                <w:sz w:val="28"/>
                <w:szCs w:val="28"/>
                <w:lang w:val="vi-VN"/>
              </w:rPr>
            </w:pPr>
            <w:r w:rsidRPr="004D2F23">
              <w:rPr>
                <w:rFonts w:ascii="Times New Roman" w:hAnsi="Times New Roman" w:cs="Times New Roman"/>
                <w:sz w:val="28"/>
                <w:szCs w:val="28"/>
                <w:lang w:val="vi-VN"/>
              </w:rPr>
              <w:t xml:space="preserve">(i) </w:t>
            </w:r>
            <w:r w:rsidRPr="004D2F23">
              <w:rPr>
                <w:rFonts w:ascii="Times New Roman" w:hAnsi="Times New Roman" w:cs="Times New Roman"/>
                <w:sz w:val="28"/>
                <w:szCs w:val="28"/>
              </w:rPr>
              <w:t xml:space="preserve">Hỗ trợ </w:t>
            </w:r>
            <w:r w:rsidRPr="004D2F23">
              <w:rPr>
                <w:rFonts w:ascii="Times New Roman" w:hAnsi="Times New Roman" w:cs="Times New Roman"/>
                <w:sz w:val="28"/>
                <w:szCs w:val="28"/>
                <w:lang w:val="vi-VN"/>
              </w:rPr>
              <w:t>thanh khoản/ bơm vốn</w:t>
            </w:r>
          </w:p>
          <w:p w14:paraId="0D513937" w14:textId="77777777" w:rsidR="00FE425C" w:rsidRPr="004D2F23" w:rsidRDefault="00FE425C" w:rsidP="00A26ADD">
            <w:pPr>
              <w:pStyle w:val="ListParagraph"/>
              <w:tabs>
                <w:tab w:val="left" w:pos="284"/>
              </w:tabs>
              <w:spacing w:line="276" w:lineRule="auto"/>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lang w:val="vi-VN"/>
              </w:rPr>
              <w:t>(Điều 126-2, Khoản (1), Mục (i) của Luật Bảo hiểm tiền gửi)</w:t>
            </w:r>
          </w:p>
        </w:tc>
        <w:tc>
          <w:tcPr>
            <w:tcW w:w="2268" w:type="dxa"/>
            <w:shd w:val="clear" w:color="auto" w:fill="auto"/>
          </w:tcPr>
          <w:p w14:paraId="000CB406" w14:textId="77777777" w:rsidR="00FE425C" w:rsidRPr="004D2F23" w:rsidRDefault="00FE425C" w:rsidP="00A26ADD">
            <w:pPr>
              <w:pStyle w:val="ListParagraph"/>
              <w:tabs>
                <w:tab w:val="left" w:pos="284"/>
              </w:tabs>
              <w:spacing w:line="276" w:lineRule="auto"/>
              <w:ind w:left="0"/>
              <w:contextualSpacing w:val="0"/>
              <w:jc w:val="both"/>
              <w:rPr>
                <w:rFonts w:ascii="Times New Roman" w:hAnsi="Times New Roman" w:cs="Times New Roman"/>
                <w:sz w:val="28"/>
                <w:szCs w:val="28"/>
              </w:rPr>
            </w:pPr>
            <w:r w:rsidRPr="004D2F23">
              <w:rPr>
                <w:rFonts w:ascii="Times New Roman" w:hAnsi="Times New Roman" w:cs="Times New Roman"/>
                <w:sz w:val="28"/>
                <w:szCs w:val="28"/>
                <w:lang w:val="vi-VN"/>
              </w:rPr>
              <w:t>Các tổ chức tài chính đổ vỡ, hoặc có khả năng đổ vỡ</w:t>
            </w:r>
          </w:p>
        </w:tc>
        <w:tc>
          <w:tcPr>
            <w:tcW w:w="4768" w:type="dxa"/>
            <w:shd w:val="clear" w:color="auto" w:fill="auto"/>
          </w:tcPr>
          <w:p w14:paraId="0262F0C6"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rPr>
              <w:t>Khi một tổ chức tài chính, v.v. vẫn còn khả năng chi trả nhưng có thể sẽ gây gián đoạn nghiêm trọng đến hệ thống tài chính khi bị cạn kiệt thanh khoản, v.v., DICJ sẽ đặt tổ chức dưới sự giám sát của DICJ, cung cấp thanh khoản, ngăn chặn đổ vỡ và cắt giảm các giao dịch có tầm ảnh hưởng hệ thống của tổ chức này.</w:t>
            </w:r>
          </w:p>
          <w:p w14:paraId="28BB7DF3"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rPr>
              <w:t xml:space="preserve">DICJ tăng cường vốn của tổ chức tài chính, v.v. (ngoại trừ các tổ chức bị mất khả năng chi trả hoặc những tổ chức đã </w:t>
            </w:r>
            <w:r w:rsidRPr="004D2F23">
              <w:rPr>
                <w:rFonts w:ascii="Times New Roman" w:hAnsi="Times New Roman" w:cs="Times New Roman"/>
                <w:sz w:val="28"/>
                <w:szCs w:val="28"/>
              </w:rPr>
              <w:lastRenderedPageBreak/>
              <w:t>dừng nghĩa vụ thanh toán) bằng cách đăng ký mua cổ phần, v.v. (cổ phần, trái phiếu thứ cấp, v.v.) và các công cụ huy động vốn khác mà tổ chức đó phát hành, dựa trên quyết định của Ủy viên FSA (phụ thuộc vào sự đồng ý của Bộ trưởng Tài chính).</w:t>
            </w:r>
          </w:p>
        </w:tc>
      </w:tr>
      <w:tr w:rsidR="004D2F23" w:rsidRPr="004D2F23" w14:paraId="0BD7EA42" w14:textId="77777777" w:rsidTr="002D39C7">
        <w:tc>
          <w:tcPr>
            <w:tcW w:w="1980" w:type="dxa"/>
            <w:shd w:val="clear" w:color="auto" w:fill="auto"/>
          </w:tcPr>
          <w:p w14:paraId="74856D6A" w14:textId="77777777" w:rsidR="00FE425C" w:rsidRPr="004D2F23" w:rsidRDefault="00FE425C" w:rsidP="00A26ADD">
            <w:pPr>
              <w:spacing w:after="0" w:line="276" w:lineRule="auto"/>
              <w:ind w:hanging="11"/>
              <w:jc w:val="both"/>
              <w:rPr>
                <w:rFonts w:ascii="Times New Roman" w:hAnsi="Times New Roman" w:cs="Times New Roman"/>
                <w:sz w:val="28"/>
                <w:szCs w:val="28"/>
                <w:lang w:val="vi-VN"/>
              </w:rPr>
            </w:pPr>
            <w:r w:rsidRPr="004D2F23">
              <w:rPr>
                <w:rFonts w:ascii="Times New Roman" w:hAnsi="Times New Roman" w:cs="Times New Roman"/>
                <w:sz w:val="28"/>
                <w:szCs w:val="28"/>
                <w:lang w:val="vi-VN"/>
              </w:rPr>
              <w:lastRenderedPageBreak/>
              <w:t>(ii) Hỗ trợ tài chính đặc biệt/ biện pháp liên quan</w:t>
            </w:r>
          </w:p>
          <w:p w14:paraId="3DC373FE"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lang w:val="vi-VN"/>
              </w:rPr>
              <w:t>(Điều 126-2, Khoản (1),  mục (ii) Luật Bảo hiểm tiền gửi)</w:t>
            </w:r>
          </w:p>
        </w:tc>
        <w:tc>
          <w:tcPr>
            <w:tcW w:w="2268" w:type="dxa"/>
            <w:shd w:val="clear" w:color="auto" w:fill="auto"/>
          </w:tcPr>
          <w:p w14:paraId="0E45B41D" w14:textId="77777777" w:rsidR="00FE425C" w:rsidRPr="004D2F23" w:rsidRDefault="00FE425C" w:rsidP="00A26ADD">
            <w:pPr>
              <w:spacing w:after="0" w:line="276" w:lineRule="auto"/>
              <w:ind w:hanging="11"/>
              <w:jc w:val="both"/>
              <w:rPr>
                <w:rFonts w:ascii="Times New Roman" w:hAnsi="Times New Roman" w:cs="Times New Roman"/>
                <w:sz w:val="28"/>
                <w:szCs w:val="28"/>
                <w:lang w:val="vi-VN"/>
              </w:rPr>
            </w:pPr>
            <w:r w:rsidRPr="004D2F23">
              <w:rPr>
                <w:rFonts w:ascii="Times New Roman" w:hAnsi="Times New Roman" w:cs="Times New Roman"/>
                <w:sz w:val="28"/>
                <w:szCs w:val="28"/>
                <w:lang w:val="vi-VN"/>
              </w:rPr>
              <w:t xml:space="preserve">Các tổ chức tài chính đổ vỡ, hoặc có khả năng đổ vỡ, hoặc đã bị đình chỉ giao dịch, hoặc có khả năng bị đình chỉ giao dịch </w:t>
            </w:r>
          </w:p>
          <w:p w14:paraId="231B7209" w14:textId="77777777" w:rsidR="00FE425C" w:rsidRPr="004D2F23" w:rsidRDefault="00FE425C" w:rsidP="00A26ADD">
            <w:pPr>
              <w:pStyle w:val="ListParagraph"/>
              <w:tabs>
                <w:tab w:val="left" w:pos="284"/>
              </w:tabs>
              <w:spacing w:line="276" w:lineRule="auto"/>
              <w:ind w:left="0"/>
              <w:contextualSpacing w:val="0"/>
              <w:jc w:val="both"/>
              <w:rPr>
                <w:rFonts w:ascii="Times New Roman" w:hAnsi="Times New Roman" w:cs="Times New Roman"/>
                <w:sz w:val="28"/>
                <w:szCs w:val="28"/>
              </w:rPr>
            </w:pPr>
          </w:p>
        </w:tc>
        <w:tc>
          <w:tcPr>
            <w:tcW w:w="4768" w:type="dxa"/>
            <w:shd w:val="clear" w:color="auto" w:fill="auto"/>
          </w:tcPr>
          <w:p w14:paraId="6EF29144"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rPr>
              <w:t>Khi một tổ chức tài chính, v.v. bị mất khả năng chi trả, v.v., DICJ đặt tổ chức tài chính đó dưới sự giám sát, và có quyền thực hiện các hoạt động, quản lý và bán tài sản, nhanh chóng chuyển giao các giao dịch có tầm ảnh hưởng hệ thống từ tổ chức đó cho một tổ chức tài chính tiếp nhận nhất định, v.v. Bằng cách đó, DICJ hỗ trợ tài chính* cho tổ chức tài chính tiếp nhận nhất định, v.v. và bảo đảm hoàn thành các nghĩa vụ thanh toán của các giao dịch có tầm ảnh hưởng hệ thống.</w:t>
            </w:r>
          </w:p>
          <w:p w14:paraId="6ABBE146" w14:textId="77777777" w:rsidR="00FE425C" w:rsidRPr="004D2F23" w:rsidRDefault="00FE425C" w:rsidP="00A26ADD">
            <w:pPr>
              <w:spacing w:after="0" w:line="276" w:lineRule="auto"/>
              <w:ind w:hanging="11"/>
              <w:jc w:val="both"/>
              <w:rPr>
                <w:rFonts w:ascii="Times New Roman" w:hAnsi="Times New Roman" w:cs="Times New Roman"/>
                <w:i/>
                <w:iCs/>
                <w:sz w:val="28"/>
                <w:szCs w:val="28"/>
              </w:rPr>
            </w:pPr>
            <w:r w:rsidRPr="004D2F23">
              <w:rPr>
                <w:rFonts w:ascii="Times New Roman" w:hAnsi="Times New Roman" w:cs="Times New Roman"/>
                <w:i/>
                <w:iCs/>
                <w:sz w:val="28"/>
                <w:szCs w:val="28"/>
              </w:rPr>
              <w:t>* Tương tự với hỗ trợ tài chính (Điều 59, khổ (1) của Luật bảo hiểm tiền gửi), hỗ trợ tài chính cụ thể có thể dưới hình thức trợ cấp tiền tệ, khoản vay hoặc cấp vốn, mua lại tài sản, bảo lãnh nợ, tiếp nhận nghĩa vụ tài chính, đăng ký mua cổ phần ưu đãi và các công cụ huy động vốn và chia sẻ thiệt hại khác.</w:t>
            </w:r>
          </w:p>
          <w:p w14:paraId="44BE3922"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rPr>
              <w:t xml:space="preserve">Khi DICJ nhận được yêu cầu cho vay cần thiết để thanh toán các khoản nợ đi đôi với các giao dịch có tầm ảnh hưởng hệ thống, v.v. từ tổ chức tài chính v.v., và cho rằng là cần thiết, DICJ sẽ cấp khoản vay. </w:t>
            </w:r>
          </w:p>
          <w:p w14:paraId="50A2AD1C" w14:textId="77777777" w:rsidR="00FE425C" w:rsidRPr="004D2F23" w:rsidRDefault="00FE425C" w:rsidP="00A26ADD">
            <w:pPr>
              <w:spacing w:after="0" w:line="276" w:lineRule="auto"/>
              <w:ind w:hanging="11"/>
              <w:jc w:val="both"/>
              <w:rPr>
                <w:rFonts w:ascii="Times New Roman" w:hAnsi="Times New Roman" w:cs="Times New Roman"/>
                <w:sz w:val="28"/>
                <w:szCs w:val="28"/>
              </w:rPr>
            </w:pPr>
            <w:r w:rsidRPr="004D2F23">
              <w:rPr>
                <w:rFonts w:ascii="Times New Roman" w:hAnsi="Times New Roman" w:cs="Times New Roman"/>
                <w:sz w:val="28"/>
                <w:szCs w:val="28"/>
              </w:rPr>
              <w:t xml:space="preserve">Bất kỳ tài sản và nợ còn lại của tổ chức sẽ được bán thông qua thủ tục phá sản. Tuy nhiên, “tiền gửi,” “hợp đồng bảo hiểm,” và “các tài sản được gửi bởi </w:t>
            </w:r>
            <w:r w:rsidRPr="004D2F23">
              <w:rPr>
                <w:rFonts w:ascii="Times New Roman" w:hAnsi="Times New Roman" w:cs="Times New Roman"/>
                <w:sz w:val="28"/>
                <w:szCs w:val="28"/>
              </w:rPr>
              <w:lastRenderedPageBreak/>
              <w:t>khách hàng” được bảo vệ ở một mức độ nhất định thông qua “hệ thống bảo hiểm tiền gửi,” “hệ thống bảo vệ người mua bảo hiểm,” và “hệ thống quỹ bảo vệ nhà đầu tư.”</w:t>
            </w:r>
          </w:p>
        </w:tc>
      </w:tr>
    </w:tbl>
    <w:p w14:paraId="7542ACB5"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lastRenderedPageBreak/>
        <w:t xml:space="preserve">+ Chi phí xử lý: Tất cả các tổ chức tài chính chia sẻ chi phí này (tùy thuộc vào tình huống cụ thể, ví dụ: vụ đổ vỡ chỉ giới hạn trong ngành tài chính ngân hàng hay lây </w:t>
      </w:r>
      <w:proofErr w:type="gramStart"/>
      <w:r w:rsidRPr="004D2F23">
        <w:rPr>
          <w:rFonts w:ascii="Times New Roman" w:hAnsi="Times New Roman" w:cs="Times New Roman"/>
          <w:sz w:val="28"/>
          <w:szCs w:val="28"/>
        </w:rPr>
        <w:t>lan</w:t>
      </w:r>
      <w:proofErr w:type="gramEnd"/>
      <w:r w:rsidRPr="004D2F23">
        <w:rPr>
          <w:rFonts w:ascii="Times New Roman" w:hAnsi="Times New Roman" w:cs="Times New Roman"/>
          <w:sz w:val="28"/>
          <w:szCs w:val="28"/>
        </w:rPr>
        <w:t xml:space="preserve"> sang các ngành khác).</w:t>
      </w:r>
      <w:bookmarkStart w:id="18" w:name="_Toc184511530"/>
    </w:p>
    <w:p w14:paraId="19E88794" w14:textId="6FBF986E" w:rsidR="00FE425C" w:rsidRPr="004D2F23" w:rsidRDefault="00FE425C" w:rsidP="00A26ADD">
      <w:pPr>
        <w:spacing w:before="120" w:after="120" w:line="276" w:lineRule="auto"/>
        <w:ind w:firstLine="709"/>
        <w:jc w:val="both"/>
        <w:rPr>
          <w:rFonts w:ascii="Times New Roman" w:hAnsi="Times New Roman" w:cs="Times New Roman"/>
          <w:b/>
          <w:sz w:val="28"/>
          <w:szCs w:val="28"/>
        </w:rPr>
      </w:pPr>
      <w:r w:rsidRPr="004D2F23">
        <w:rPr>
          <w:rFonts w:ascii="Times New Roman" w:hAnsi="Times New Roman" w:cs="Times New Roman"/>
          <w:b/>
          <w:iCs/>
          <w:sz w:val="28"/>
          <w:szCs w:val="28"/>
        </w:rPr>
        <w:t>1.4</w:t>
      </w:r>
      <w:r w:rsidRPr="004D2F23">
        <w:rPr>
          <w:rFonts w:ascii="Times New Roman" w:hAnsi="Times New Roman" w:cs="Times New Roman"/>
          <w:b/>
          <w:iCs/>
          <w:sz w:val="28"/>
          <w:szCs w:val="28"/>
          <w:lang w:val="vi-VN"/>
        </w:rPr>
        <w:t xml:space="preserve">. </w:t>
      </w:r>
      <w:r w:rsidRPr="004D2F23">
        <w:rPr>
          <w:rFonts w:ascii="Times New Roman" w:hAnsi="Times New Roman" w:cs="Times New Roman"/>
          <w:b/>
          <w:iCs/>
          <w:sz w:val="28"/>
          <w:szCs w:val="28"/>
        </w:rPr>
        <w:t>Sự p</w:t>
      </w:r>
      <w:r w:rsidRPr="004D2F23">
        <w:rPr>
          <w:rFonts w:ascii="Times New Roman" w:hAnsi="Times New Roman" w:cs="Times New Roman"/>
          <w:b/>
          <w:iCs/>
          <w:sz w:val="28"/>
          <w:szCs w:val="28"/>
          <w:lang w:val="vi-VN"/>
        </w:rPr>
        <w:t>hối hợp giữa các cơ quan</w:t>
      </w:r>
      <w:bookmarkEnd w:id="18"/>
      <w:r w:rsidRPr="004D2F23">
        <w:rPr>
          <w:rFonts w:ascii="Times New Roman" w:hAnsi="Times New Roman" w:cs="Times New Roman"/>
          <w:b/>
          <w:iCs/>
          <w:sz w:val="28"/>
          <w:szCs w:val="28"/>
        </w:rPr>
        <w:t xml:space="preserve"> trong mạng </w:t>
      </w:r>
      <w:proofErr w:type="gramStart"/>
      <w:r w:rsidRPr="004D2F23">
        <w:rPr>
          <w:rFonts w:ascii="Times New Roman" w:hAnsi="Times New Roman" w:cs="Times New Roman"/>
          <w:b/>
          <w:iCs/>
          <w:sz w:val="28"/>
          <w:szCs w:val="28"/>
        </w:rPr>
        <w:t>an</w:t>
      </w:r>
      <w:proofErr w:type="gramEnd"/>
      <w:r w:rsidRPr="004D2F23">
        <w:rPr>
          <w:rFonts w:ascii="Times New Roman" w:hAnsi="Times New Roman" w:cs="Times New Roman"/>
          <w:b/>
          <w:iCs/>
          <w:sz w:val="28"/>
          <w:szCs w:val="28"/>
        </w:rPr>
        <w:t xml:space="preserve"> toàn tài chính</w:t>
      </w:r>
    </w:p>
    <w:p w14:paraId="08A5FAEE" w14:textId="77777777" w:rsidR="00FE425C" w:rsidRPr="004D2F23" w:rsidRDefault="00FE425C" w:rsidP="00A26ADD">
      <w:pPr>
        <w:spacing w:before="120" w:after="120" w:line="276" w:lineRule="auto"/>
        <w:ind w:firstLine="709"/>
        <w:jc w:val="both"/>
        <w:rPr>
          <w:rStyle w:val="Strong"/>
          <w:rFonts w:ascii="Times New Roman" w:eastAsia="Times New Roman" w:hAnsi="Times New Roman" w:cs="Times New Roman"/>
          <w:b w:val="0"/>
          <w:bCs w:val="0"/>
          <w:i/>
          <w:iCs/>
          <w:sz w:val="28"/>
          <w:szCs w:val="28"/>
        </w:rPr>
      </w:pPr>
      <w:r w:rsidRPr="004D2F23">
        <w:rPr>
          <w:rStyle w:val="Strong"/>
          <w:rFonts w:ascii="Times New Roman" w:eastAsia="Times New Roman" w:hAnsi="Times New Roman" w:cs="Times New Roman"/>
          <w:b w:val="0"/>
          <w:i/>
          <w:sz w:val="28"/>
          <w:szCs w:val="28"/>
        </w:rPr>
        <w:t xml:space="preserve">a. Tổng quan về mạng </w:t>
      </w:r>
      <w:proofErr w:type="gramStart"/>
      <w:r w:rsidRPr="004D2F23">
        <w:rPr>
          <w:rStyle w:val="Strong"/>
          <w:rFonts w:ascii="Times New Roman" w:eastAsia="Times New Roman" w:hAnsi="Times New Roman" w:cs="Times New Roman"/>
          <w:b w:val="0"/>
          <w:i/>
          <w:sz w:val="28"/>
          <w:szCs w:val="28"/>
        </w:rPr>
        <w:t>an</w:t>
      </w:r>
      <w:proofErr w:type="gramEnd"/>
      <w:r w:rsidRPr="004D2F23">
        <w:rPr>
          <w:rStyle w:val="Strong"/>
          <w:rFonts w:ascii="Times New Roman" w:eastAsia="Times New Roman" w:hAnsi="Times New Roman" w:cs="Times New Roman"/>
          <w:b w:val="0"/>
          <w:i/>
          <w:sz w:val="28"/>
          <w:szCs w:val="28"/>
        </w:rPr>
        <w:t xml:space="preserve"> toàn tài chính</w:t>
      </w:r>
    </w:p>
    <w:p w14:paraId="62983ED8"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xml:space="preserve">Mạng </w:t>
      </w:r>
      <w:proofErr w:type="gramStart"/>
      <w:r w:rsidRPr="004D2F23">
        <w:rPr>
          <w:rFonts w:ascii="Times New Roman" w:hAnsi="Times New Roman" w:cs="Times New Roman"/>
          <w:sz w:val="28"/>
          <w:szCs w:val="28"/>
        </w:rPr>
        <w:t>an</w:t>
      </w:r>
      <w:proofErr w:type="gramEnd"/>
      <w:r w:rsidRPr="004D2F23">
        <w:rPr>
          <w:rFonts w:ascii="Times New Roman" w:hAnsi="Times New Roman" w:cs="Times New Roman"/>
          <w:sz w:val="28"/>
          <w:szCs w:val="28"/>
        </w:rPr>
        <w:t xml:space="preserve"> toàn tài chính Nhật Bản bao gồm các cơ quan:</w:t>
      </w:r>
    </w:p>
    <w:p w14:paraId="05AFE221"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Cơ quan Dịch vụ Tài chính (FSA): Cơ quan quản lý và giám sát các tổ chức tài chính.</w:t>
      </w:r>
    </w:p>
    <w:p w14:paraId="4782B08E"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Ngân hàng Trung ương Nhật Bản (BoJ): Cung cấp thanh khoản và hỗ trợ khẩn cấp.</w:t>
      </w:r>
    </w:p>
    <w:p w14:paraId="7BBC03A3"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Tổng Công ty Bảo hiểm Tiền gửi Nhật Bản (DICJ): Bảo vệ người gửi tiền và xử lý tổ chức tài chính.</w:t>
      </w:r>
    </w:p>
    <w:p w14:paraId="76E46C10"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Bộ Tài chính (MOF): Đóng vai trò hỗ trợ trong việc điều phối chính sách tài khóa và tài chính quốc gia.</w:t>
      </w:r>
    </w:p>
    <w:p w14:paraId="341298BA" w14:textId="77777777" w:rsidR="00FE425C" w:rsidRPr="004D2F23" w:rsidRDefault="00FE425C" w:rsidP="00A26ADD">
      <w:pPr>
        <w:spacing w:before="120" w:after="120" w:line="276" w:lineRule="auto"/>
        <w:ind w:firstLine="709"/>
        <w:jc w:val="both"/>
        <w:rPr>
          <w:rFonts w:ascii="Times New Roman" w:hAnsi="Times New Roman" w:cs="Times New Roman"/>
          <w:i/>
          <w:iCs/>
          <w:sz w:val="28"/>
          <w:szCs w:val="28"/>
        </w:rPr>
      </w:pPr>
      <w:r w:rsidRPr="004D2F23">
        <w:rPr>
          <w:rFonts w:ascii="Times New Roman" w:hAnsi="Times New Roman" w:cs="Times New Roman"/>
          <w:i/>
          <w:iCs/>
          <w:sz w:val="28"/>
          <w:szCs w:val="28"/>
        </w:rPr>
        <w:t>b. Sự phối hợp giữa các cơ quan trong</w:t>
      </w:r>
      <w:r w:rsidRPr="004D2F23">
        <w:rPr>
          <w:rStyle w:val="Strong"/>
          <w:rFonts w:ascii="Times New Roman" w:eastAsia="Times New Roman" w:hAnsi="Times New Roman" w:cs="Times New Roman"/>
          <w:sz w:val="28"/>
          <w:szCs w:val="28"/>
        </w:rPr>
        <w:t xml:space="preserve"> </w:t>
      </w:r>
      <w:r w:rsidRPr="004D2F23">
        <w:rPr>
          <w:rStyle w:val="Strong"/>
          <w:rFonts w:ascii="Times New Roman" w:eastAsia="Times New Roman" w:hAnsi="Times New Roman" w:cs="Times New Roman"/>
          <w:b w:val="0"/>
          <w:i/>
          <w:sz w:val="28"/>
          <w:szCs w:val="28"/>
        </w:rPr>
        <w:t xml:space="preserve">mạng </w:t>
      </w:r>
      <w:proofErr w:type="gramStart"/>
      <w:r w:rsidRPr="004D2F23">
        <w:rPr>
          <w:rStyle w:val="Strong"/>
          <w:rFonts w:ascii="Times New Roman" w:eastAsia="Times New Roman" w:hAnsi="Times New Roman" w:cs="Times New Roman"/>
          <w:b w:val="0"/>
          <w:i/>
          <w:sz w:val="28"/>
          <w:szCs w:val="28"/>
        </w:rPr>
        <w:t>an</w:t>
      </w:r>
      <w:proofErr w:type="gramEnd"/>
      <w:r w:rsidRPr="004D2F23">
        <w:rPr>
          <w:rStyle w:val="Strong"/>
          <w:rFonts w:ascii="Times New Roman" w:eastAsia="Times New Roman" w:hAnsi="Times New Roman" w:cs="Times New Roman"/>
          <w:b w:val="0"/>
          <w:i/>
          <w:sz w:val="28"/>
          <w:szCs w:val="28"/>
        </w:rPr>
        <w:t xml:space="preserve"> toàn tài chính</w:t>
      </w:r>
      <w:r w:rsidRPr="004D2F23">
        <w:rPr>
          <w:rFonts w:ascii="Times New Roman" w:hAnsi="Times New Roman" w:cs="Times New Roman"/>
          <w:i/>
          <w:iCs/>
          <w:sz w:val="28"/>
          <w:szCs w:val="28"/>
        </w:rPr>
        <w:t xml:space="preserve"> trong việc giám sát, can thiệp và xử lý các tổ chức tài chính</w:t>
      </w:r>
      <w:r w:rsidRPr="004D2F23" w:rsidDel="004C6171">
        <w:rPr>
          <w:rFonts w:ascii="Times New Roman" w:hAnsi="Times New Roman" w:cs="Times New Roman"/>
          <w:i/>
          <w:iCs/>
          <w:sz w:val="28"/>
          <w:szCs w:val="28"/>
        </w:rPr>
        <w:t xml:space="preserve"> </w:t>
      </w:r>
    </w:p>
    <w:p w14:paraId="4879D53C" w14:textId="77777777" w:rsidR="00FE425C" w:rsidRPr="004D2F23" w:rsidRDefault="00FE425C" w:rsidP="00FE425C">
      <w:pPr>
        <w:tabs>
          <w:tab w:val="left" w:pos="284"/>
        </w:tabs>
        <w:spacing w:before="120" w:after="120" w:line="240" w:lineRule="auto"/>
        <w:ind w:firstLine="709"/>
        <w:jc w:val="center"/>
        <w:rPr>
          <w:rFonts w:ascii="Times New Roman" w:hAnsi="Times New Roman"/>
          <w:b/>
          <w:bCs/>
          <w:sz w:val="28"/>
          <w:szCs w:val="28"/>
        </w:rPr>
      </w:pPr>
      <w:r w:rsidRPr="004D2F23">
        <w:rPr>
          <w:rFonts w:ascii="Times New Roman" w:hAnsi="Times New Roman"/>
          <w:b/>
          <w:bCs/>
          <w:sz w:val="28"/>
          <w:szCs w:val="28"/>
        </w:rPr>
        <w:t xml:space="preserve">Quy trình phối hợp giữa các cơ quan trong mạng </w:t>
      </w:r>
      <w:proofErr w:type="gramStart"/>
      <w:r w:rsidRPr="004D2F23">
        <w:rPr>
          <w:rFonts w:ascii="Times New Roman" w:hAnsi="Times New Roman"/>
          <w:b/>
          <w:bCs/>
          <w:sz w:val="28"/>
          <w:szCs w:val="28"/>
        </w:rPr>
        <w:t>an</w:t>
      </w:r>
      <w:proofErr w:type="gramEnd"/>
      <w:r w:rsidRPr="004D2F23">
        <w:rPr>
          <w:rFonts w:ascii="Times New Roman" w:hAnsi="Times New Roman"/>
          <w:b/>
          <w:bCs/>
          <w:sz w:val="28"/>
          <w:szCs w:val="28"/>
        </w:rPr>
        <w:t xml:space="preserve"> toàn tài chính</w:t>
      </w:r>
    </w:p>
    <w:p w14:paraId="04F64B72" w14:textId="419D0DD5" w:rsidR="00FE425C" w:rsidRPr="004D2F23" w:rsidRDefault="00FE425C" w:rsidP="00FE425C">
      <w:pPr>
        <w:jc w:val="center"/>
        <w:rPr>
          <w:rFonts w:ascii="Times New Roman" w:hAnsi="Times New Roman"/>
          <w:sz w:val="28"/>
          <w:szCs w:val="28"/>
        </w:rPr>
      </w:pPr>
      <w:r w:rsidRPr="004D2F23">
        <w:rPr>
          <w:rFonts w:ascii="Times New Roman" w:hAnsi="Times New Roman"/>
          <w:noProof/>
        </w:rPr>
        <w:drawing>
          <wp:inline distT="0" distB="0" distL="0" distR="0" wp14:anchorId="5D4BAA50" wp14:editId="566025F5">
            <wp:extent cx="4986655" cy="285877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6655" cy="2858770"/>
                    </a:xfrm>
                    <a:prstGeom prst="rect">
                      <a:avLst/>
                    </a:prstGeom>
                    <a:noFill/>
                    <a:ln>
                      <a:noFill/>
                    </a:ln>
                  </pic:spPr>
                </pic:pic>
              </a:graphicData>
            </a:graphic>
          </wp:inline>
        </w:drawing>
      </w:r>
    </w:p>
    <w:p w14:paraId="77B9166C" w14:textId="77777777" w:rsidR="00FE425C" w:rsidRPr="004D2F23" w:rsidRDefault="00FE425C" w:rsidP="00A26ADD">
      <w:pPr>
        <w:spacing w:before="120" w:after="120" w:line="276" w:lineRule="auto"/>
        <w:ind w:firstLine="709"/>
        <w:jc w:val="both"/>
        <w:rPr>
          <w:rFonts w:ascii="Times New Roman" w:hAnsi="Times New Roman"/>
          <w:sz w:val="28"/>
          <w:szCs w:val="28"/>
        </w:rPr>
      </w:pPr>
      <w:r w:rsidRPr="004D2F23">
        <w:rPr>
          <w:rFonts w:ascii="Times New Roman" w:hAnsi="Times New Roman"/>
          <w:sz w:val="28"/>
          <w:szCs w:val="28"/>
        </w:rPr>
        <w:lastRenderedPageBreak/>
        <w:t xml:space="preserve">Các cơ quan trong mạng an toàn tài chính phối hợp </w:t>
      </w:r>
      <w:proofErr w:type="gramStart"/>
      <w:r w:rsidRPr="004D2F23">
        <w:rPr>
          <w:rFonts w:ascii="Times New Roman" w:hAnsi="Times New Roman"/>
          <w:sz w:val="28"/>
          <w:szCs w:val="28"/>
        </w:rPr>
        <w:t>theo</w:t>
      </w:r>
      <w:proofErr w:type="gramEnd"/>
      <w:r w:rsidRPr="004D2F23">
        <w:rPr>
          <w:rFonts w:ascii="Times New Roman" w:hAnsi="Times New Roman"/>
          <w:sz w:val="28"/>
          <w:szCs w:val="28"/>
        </w:rPr>
        <w:t xml:space="preserve"> quy định tại các bộ luật và các thỏa thuận hợp tác (MOU) nhằm chia sẻ thông tin và phối hợp trong xử lý đổ vỡ và ứng phó với khủng hoảng.</w:t>
      </w:r>
    </w:p>
    <w:p w14:paraId="129E2E6A" w14:textId="77777777" w:rsidR="00FE425C" w:rsidRPr="004D2F23" w:rsidRDefault="00FE425C" w:rsidP="00A26ADD">
      <w:pPr>
        <w:spacing w:before="120" w:after="120" w:line="276" w:lineRule="auto"/>
        <w:ind w:firstLine="709"/>
        <w:jc w:val="both"/>
        <w:rPr>
          <w:rFonts w:ascii="Times New Roman" w:hAnsi="Times New Roman"/>
          <w:sz w:val="28"/>
          <w:szCs w:val="28"/>
        </w:rPr>
      </w:pPr>
      <w:r w:rsidRPr="004D2F23">
        <w:rPr>
          <w:rFonts w:ascii="Times New Roman" w:hAnsi="Times New Roman"/>
          <w:sz w:val="28"/>
          <w:szCs w:val="28"/>
        </w:rPr>
        <w:t xml:space="preserve">FSA, BOJ và MoF là thành viên của Hội đồng Ứng phó Khủng hoảng Tài chính (FCRC) và có cơ chế chia sẻ thông tin khi cần thiết. Ngoài ra, </w:t>
      </w:r>
      <w:proofErr w:type="gramStart"/>
      <w:r w:rsidRPr="004D2F23">
        <w:rPr>
          <w:rFonts w:ascii="Times New Roman" w:hAnsi="Times New Roman"/>
          <w:sz w:val="28"/>
          <w:szCs w:val="28"/>
        </w:rPr>
        <w:t>theo</w:t>
      </w:r>
      <w:proofErr w:type="gramEnd"/>
      <w:r w:rsidRPr="004D2F23">
        <w:rPr>
          <w:rFonts w:ascii="Times New Roman" w:hAnsi="Times New Roman"/>
          <w:sz w:val="28"/>
          <w:szCs w:val="28"/>
        </w:rPr>
        <w:t xml:space="preserve"> Đạo luật Tổ chức Chính phủ Quốc gia, FSA và MoF có thể chia sẻ thông tin với nhau. FSA và BOJ trao đổi thông tin về tình hình của TCTC để xác định TCTC có đang hoạt động lành mạnh hay cần can thiệp. Về phía DICJ, trong giai đoạn xử lý, DICJ được FSA cung cấp thông tin để phục vụ mục đích xử lý TCTC bị đổ vỡ.</w:t>
      </w:r>
    </w:p>
    <w:p w14:paraId="596751AD" w14:textId="77777777" w:rsidR="00FE425C" w:rsidRPr="004D2F23" w:rsidRDefault="00FE425C" w:rsidP="00A26ADD">
      <w:pPr>
        <w:spacing w:before="120" w:after="120" w:line="276" w:lineRule="auto"/>
        <w:ind w:firstLine="709"/>
        <w:rPr>
          <w:rFonts w:ascii="Times New Roman" w:hAnsi="Times New Roman"/>
          <w:sz w:val="28"/>
          <w:szCs w:val="28"/>
        </w:rPr>
      </w:pPr>
      <w:r w:rsidRPr="004D2F23">
        <w:rPr>
          <w:rFonts w:ascii="Times New Roman" w:hAnsi="Times New Roman"/>
          <w:sz w:val="28"/>
          <w:szCs w:val="28"/>
        </w:rPr>
        <w:t>Nhiệm vụ của các cơ quan trong quá trình giám sát, can thiệp và xử lý các tổ chức tài chính:</w:t>
      </w:r>
    </w:p>
    <w:p w14:paraId="6BB54A63" w14:textId="77777777" w:rsidR="00FE425C" w:rsidRPr="004D2F23" w:rsidRDefault="00FE425C" w:rsidP="00A26ADD">
      <w:pPr>
        <w:spacing w:before="120" w:after="120" w:line="276" w:lineRule="auto"/>
        <w:ind w:firstLine="709"/>
        <w:jc w:val="both"/>
        <w:rPr>
          <w:rFonts w:ascii="Times New Roman" w:hAnsi="Times New Roman"/>
          <w:sz w:val="28"/>
          <w:szCs w:val="28"/>
        </w:rPr>
      </w:pPr>
      <w:r w:rsidRPr="004D2F23">
        <w:rPr>
          <w:rFonts w:ascii="Times New Roman" w:hAnsi="Times New Roman"/>
          <w:sz w:val="28"/>
          <w:szCs w:val="28"/>
        </w:rPr>
        <w:t>- Phát hiện và đánh giá rủi ro bởi FSA</w:t>
      </w:r>
    </w:p>
    <w:p w14:paraId="24F3B16D" w14:textId="77777777" w:rsidR="00FE425C" w:rsidRPr="004D2F23" w:rsidRDefault="00FE425C" w:rsidP="00A26ADD">
      <w:pPr>
        <w:spacing w:before="120" w:after="120" w:line="276" w:lineRule="auto"/>
        <w:ind w:firstLine="709"/>
        <w:jc w:val="both"/>
        <w:rPr>
          <w:rFonts w:ascii="Times New Roman" w:hAnsi="Times New Roman"/>
          <w:sz w:val="28"/>
          <w:szCs w:val="28"/>
        </w:rPr>
      </w:pPr>
      <w:r w:rsidRPr="004D2F23">
        <w:rPr>
          <w:rFonts w:ascii="Times New Roman" w:hAnsi="Times New Roman"/>
          <w:sz w:val="28"/>
          <w:szCs w:val="28"/>
        </w:rPr>
        <w:t>FSA là cơ quan chủ đạo trong việc giám sát các ngân hàng và tổ chức tài chính. Khi phát hiện các dấu hiệu cho thấy một tổ chức tài chính đang gặp rủi ro hoặc nguy cơ phá sản, FSA sẽ đánh giá tình trạng tài chính của ngân hàng và báo cáo với các cơ quan liên quan. FSA có quyền yêu cầu các ngân hàng tăng cường vốn, cải thiện cơ cấu quản lý, hoặc thực hiện các biện pháp kiểm soát rủi ro.</w:t>
      </w:r>
    </w:p>
    <w:p w14:paraId="33EA6702" w14:textId="77777777" w:rsidR="00FE425C" w:rsidRPr="004D2F23" w:rsidRDefault="00FE425C" w:rsidP="00A26ADD">
      <w:pPr>
        <w:spacing w:before="120" w:after="120" w:line="276" w:lineRule="auto"/>
        <w:ind w:firstLine="709"/>
        <w:jc w:val="both"/>
        <w:rPr>
          <w:rFonts w:ascii="Times New Roman" w:hAnsi="Times New Roman"/>
          <w:sz w:val="28"/>
          <w:szCs w:val="28"/>
        </w:rPr>
      </w:pPr>
      <w:r w:rsidRPr="004D2F23">
        <w:rPr>
          <w:rFonts w:ascii="Times New Roman" w:hAnsi="Times New Roman"/>
          <w:sz w:val="28"/>
          <w:szCs w:val="28"/>
        </w:rPr>
        <w:t>- Hỗ trợ thanh khoản bởi BOJ</w:t>
      </w:r>
    </w:p>
    <w:p w14:paraId="427E8B59" w14:textId="77777777" w:rsidR="00FE425C" w:rsidRPr="004D2F23" w:rsidRDefault="00FE425C" w:rsidP="00A26ADD">
      <w:pPr>
        <w:spacing w:before="120" w:after="120" w:line="276" w:lineRule="auto"/>
        <w:ind w:firstLine="709"/>
        <w:jc w:val="both"/>
        <w:rPr>
          <w:rFonts w:ascii="Times New Roman" w:hAnsi="Times New Roman"/>
          <w:sz w:val="28"/>
          <w:szCs w:val="28"/>
        </w:rPr>
      </w:pPr>
      <w:r w:rsidRPr="004D2F23">
        <w:rPr>
          <w:rFonts w:ascii="Times New Roman" w:hAnsi="Times New Roman"/>
          <w:sz w:val="28"/>
          <w:szCs w:val="28"/>
        </w:rPr>
        <w:t>Trong trường hợp ngân hàng gặp khó khăn về thanh khoản nhưng vẫn còn khả năng hồi phục, BOJ có thể cung cấp thanh khoản khẩn cấp (lender of last resort) để hỗ trợ ngân hàng vượt qua khủng hoảng tạm thời. BOJ sẽ đánh giá khả năng trả nợ và các điều kiện tài chính của ngân hàng trước khi cung cấp hỗ trợ thanh khoản.</w:t>
      </w:r>
    </w:p>
    <w:p w14:paraId="0BB4A416" w14:textId="77777777" w:rsidR="00FE425C" w:rsidRPr="004D2F23" w:rsidRDefault="00FE425C" w:rsidP="00A26ADD">
      <w:pPr>
        <w:spacing w:before="120" w:after="120" w:line="276" w:lineRule="auto"/>
        <w:ind w:firstLine="709"/>
        <w:jc w:val="both"/>
        <w:rPr>
          <w:rFonts w:ascii="Times New Roman" w:hAnsi="Times New Roman"/>
          <w:sz w:val="28"/>
          <w:szCs w:val="28"/>
        </w:rPr>
      </w:pPr>
      <w:r w:rsidRPr="004D2F23">
        <w:rPr>
          <w:rFonts w:ascii="Times New Roman" w:hAnsi="Times New Roman"/>
          <w:sz w:val="28"/>
          <w:szCs w:val="28"/>
        </w:rPr>
        <w:t>- Xử lý và tái cấu trúc ngân hàng bởi DICJ</w:t>
      </w:r>
    </w:p>
    <w:p w14:paraId="2C078FCC" w14:textId="77777777" w:rsidR="00FE425C" w:rsidRPr="004D2F23" w:rsidRDefault="00FE425C" w:rsidP="00A26ADD">
      <w:pPr>
        <w:spacing w:before="120" w:after="120" w:line="276" w:lineRule="auto"/>
        <w:ind w:firstLine="709"/>
        <w:jc w:val="both"/>
        <w:rPr>
          <w:rFonts w:ascii="Times New Roman" w:hAnsi="Times New Roman"/>
          <w:sz w:val="28"/>
          <w:szCs w:val="28"/>
        </w:rPr>
      </w:pPr>
      <w:r w:rsidRPr="004D2F23">
        <w:rPr>
          <w:rFonts w:ascii="Times New Roman" w:hAnsi="Times New Roman"/>
          <w:sz w:val="28"/>
          <w:szCs w:val="28"/>
        </w:rPr>
        <w:t xml:space="preserve">Nếu một ngân hàng không thể phục hồi sau các biện pháp hỗ trợ thanh khoản, DICJ sẽ tiến hành xử lý ngân hàng. DICJ có thể tái cấu trúc ngân hàng bằng cách yêu cầu hợp nhất với một tổ chức tài chính mạnh hơn hoặc thực hiện thanh lý ngân hàng. DICJ cũng có thể thành lập ngân hàng bắc cầu (bridge bank) để tiếp quản các tài sản và nợ của ngân hàng đang phá sản cho đến khi tìm được người mua hoặc giải pháp dài hạn. </w:t>
      </w:r>
    </w:p>
    <w:p w14:paraId="39245A9A" w14:textId="77777777" w:rsidR="00FE425C" w:rsidRPr="004D2F23" w:rsidRDefault="00FE425C" w:rsidP="00A26ADD">
      <w:pPr>
        <w:spacing w:before="120" w:after="120" w:line="276" w:lineRule="auto"/>
        <w:ind w:firstLine="709"/>
        <w:jc w:val="both"/>
        <w:rPr>
          <w:rFonts w:ascii="Times New Roman" w:hAnsi="Times New Roman"/>
          <w:sz w:val="28"/>
          <w:szCs w:val="28"/>
        </w:rPr>
      </w:pPr>
      <w:r w:rsidRPr="004D2F23">
        <w:rPr>
          <w:rFonts w:ascii="Times New Roman" w:hAnsi="Times New Roman"/>
          <w:sz w:val="28"/>
          <w:szCs w:val="28"/>
        </w:rPr>
        <w:t>- Thanh lý và chi trả cho người gửi tiền bởi DICJ</w:t>
      </w:r>
    </w:p>
    <w:p w14:paraId="42B4A973" w14:textId="77777777" w:rsidR="00FE425C" w:rsidRPr="004D2F23" w:rsidRDefault="00FE425C" w:rsidP="00A26ADD">
      <w:pPr>
        <w:spacing w:before="120" w:after="120" w:line="276" w:lineRule="auto"/>
        <w:ind w:firstLine="709"/>
        <w:jc w:val="both"/>
        <w:rPr>
          <w:rFonts w:ascii="Times New Roman" w:hAnsi="Times New Roman"/>
          <w:sz w:val="28"/>
          <w:szCs w:val="28"/>
        </w:rPr>
      </w:pPr>
      <w:r w:rsidRPr="004D2F23">
        <w:rPr>
          <w:rFonts w:ascii="Times New Roman" w:hAnsi="Times New Roman"/>
          <w:sz w:val="28"/>
          <w:szCs w:val="28"/>
        </w:rPr>
        <w:t xml:space="preserve">Nếu không thể tái cấu trúc thành công, DICJ sẽ thực hiện việc thanh lý tài sản của ngân hàng phá sản. Toàn bộ hoặc một phần tài sản sẽ được bán đi để giảm thiểu thiệt hại. Sau đó, DICJ sẽ tiến hành chi trả tiền gửi cho người gửi tiền trong phạm </w:t>
      </w:r>
      <w:proofErr w:type="gramStart"/>
      <w:r w:rsidRPr="004D2F23">
        <w:rPr>
          <w:rFonts w:ascii="Times New Roman" w:hAnsi="Times New Roman"/>
          <w:sz w:val="28"/>
          <w:szCs w:val="28"/>
        </w:rPr>
        <w:t>vi</w:t>
      </w:r>
      <w:proofErr w:type="gramEnd"/>
      <w:r w:rsidRPr="004D2F23">
        <w:rPr>
          <w:rFonts w:ascii="Times New Roman" w:hAnsi="Times New Roman"/>
          <w:sz w:val="28"/>
          <w:szCs w:val="28"/>
        </w:rPr>
        <w:t xml:space="preserve"> </w:t>
      </w:r>
      <w:r w:rsidRPr="004D2F23">
        <w:rPr>
          <w:rFonts w:ascii="Times New Roman" w:hAnsi="Times New Roman"/>
          <w:sz w:val="28"/>
          <w:szCs w:val="28"/>
        </w:rPr>
        <w:lastRenderedPageBreak/>
        <w:t>bảo hiểm được quy định (hiện tại là 10 triệu Yen cho mỗi người gửi tiền tại một ngân hàng).</w:t>
      </w:r>
    </w:p>
    <w:p w14:paraId="27D58303" w14:textId="77777777" w:rsidR="00FE425C" w:rsidRPr="004D2F23" w:rsidRDefault="00FE425C" w:rsidP="00A26ADD">
      <w:pPr>
        <w:spacing w:before="120" w:after="120" w:line="276" w:lineRule="auto"/>
        <w:ind w:firstLine="709"/>
        <w:jc w:val="both"/>
        <w:rPr>
          <w:rFonts w:ascii="Times New Roman" w:hAnsi="Times New Roman"/>
          <w:sz w:val="28"/>
          <w:szCs w:val="28"/>
        </w:rPr>
      </w:pPr>
      <w:r w:rsidRPr="004D2F23">
        <w:rPr>
          <w:rFonts w:ascii="Times New Roman" w:hAnsi="Times New Roman"/>
          <w:sz w:val="28"/>
          <w:szCs w:val="28"/>
        </w:rPr>
        <w:t>- Hỗ trợ chính sách tài khóa và pháp lý bởi MOF</w:t>
      </w:r>
    </w:p>
    <w:p w14:paraId="450FC296"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sz w:val="28"/>
          <w:szCs w:val="28"/>
        </w:rPr>
        <w:t xml:space="preserve">MOF hỗ trợ trong việc điều phối chính sách tài khóa và cung cấp khung pháp lý để xử lý khủng hoảng tài chính. Bộ Tài chính (MOF) cũng đảm bảo rằng các quỹ công được phân bổ hợp lý khi cần thiết để giải cứu hệ thống tài chính </w:t>
      </w:r>
      <w:r w:rsidRPr="004D2F23">
        <w:rPr>
          <w:rFonts w:ascii="Times New Roman" w:hAnsi="Times New Roman" w:cs="Times New Roman"/>
          <w:sz w:val="28"/>
          <w:szCs w:val="28"/>
        </w:rPr>
        <w:t>hoặc hỗ trợ DICJ trong quá trình xử lý ngân hàng.</w:t>
      </w:r>
    </w:p>
    <w:p w14:paraId="2447B1D8" w14:textId="0AB36AC1" w:rsidR="00FE425C" w:rsidRPr="004D2F23" w:rsidRDefault="00FE425C" w:rsidP="00A26ADD">
      <w:pPr>
        <w:spacing w:before="120" w:after="120" w:line="276" w:lineRule="auto"/>
        <w:ind w:firstLine="709"/>
        <w:jc w:val="both"/>
        <w:rPr>
          <w:rFonts w:ascii="Times New Roman" w:hAnsi="Times New Roman" w:cs="Times New Roman"/>
          <w:b/>
          <w:sz w:val="28"/>
          <w:szCs w:val="28"/>
        </w:rPr>
      </w:pPr>
      <w:r w:rsidRPr="004D2F23">
        <w:rPr>
          <w:rFonts w:ascii="Times New Roman" w:hAnsi="Times New Roman" w:cs="Times New Roman"/>
          <w:b/>
          <w:sz w:val="28"/>
          <w:szCs w:val="28"/>
        </w:rPr>
        <w:t>2. Hàn Quốc:</w:t>
      </w:r>
    </w:p>
    <w:p w14:paraId="185FC1E4" w14:textId="77777777" w:rsidR="00FE425C" w:rsidRPr="004D2F23" w:rsidRDefault="00FE425C" w:rsidP="00A26ADD">
      <w:pPr>
        <w:spacing w:before="120" w:after="120" w:line="276" w:lineRule="auto"/>
        <w:ind w:firstLine="709"/>
        <w:jc w:val="both"/>
        <w:rPr>
          <w:rFonts w:ascii="Times New Roman" w:hAnsi="Times New Roman" w:cs="Times New Roman"/>
          <w:b/>
          <w:bCs/>
          <w:sz w:val="28"/>
          <w:szCs w:val="28"/>
        </w:rPr>
      </w:pPr>
      <w:r w:rsidRPr="004D2F23">
        <w:rPr>
          <w:rFonts w:ascii="Times New Roman" w:hAnsi="Times New Roman" w:cs="Times New Roman"/>
          <w:sz w:val="28"/>
          <w:szCs w:val="28"/>
        </w:rPr>
        <w:t xml:space="preserve">Tổng công ty BHTG Hàn Quốc (KDIC) là cơ quan xử lý, chịu trách nhiệm tiến hành các bước xử lý tổ chức tài chính dưới sự chỉ đạo của Ủy ban dịch vụ tài chính (FSC). FSC và Ủy ban bảo hiểm tiền gửi của KDIC có thẩm quyền tuyên bố một tổ chức tài chính bị đổ vỡ hay có nguy cơ bị đổ vỡ. Sau đó, KDIC lựa chọn một phương pháp thích hợp nhất trong số các phương pháp: chi trả-thanh lý; mua lại và tiếp nhận (P&amp;A); ngân hàng bắc cầu; và hỗ trợ tài chính để tiến hành xử lý tổ chức tài chính bị đổ vỡ. </w:t>
      </w:r>
    </w:p>
    <w:p w14:paraId="2C9E18C1" w14:textId="42DAB87E" w:rsidR="00FE425C" w:rsidRPr="004D2F23" w:rsidRDefault="00FE425C" w:rsidP="00A26ADD">
      <w:pPr>
        <w:spacing w:before="120" w:line="276" w:lineRule="auto"/>
        <w:ind w:left="720"/>
        <w:jc w:val="both"/>
        <w:rPr>
          <w:rFonts w:ascii="Times New Roman" w:hAnsi="Times New Roman" w:cs="Times New Roman"/>
          <w:b/>
          <w:sz w:val="28"/>
          <w:szCs w:val="28"/>
        </w:rPr>
      </w:pPr>
      <w:r w:rsidRPr="004D2F23">
        <w:rPr>
          <w:rFonts w:ascii="Times New Roman" w:hAnsi="Times New Roman" w:cs="Times New Roman"/>
          <w:b/>
          <w:sz w:val="28"/>
          <w:szCs w:val="28"/>
        </w:rPr>
        <w:t>2.1. Tiêu chí và các yếu tố quyết định việc lựa biện pháp xử lý</w:t>
      </w:r>
    </w:p>
    <w:p w14:paraId="48285E2F"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Hoạt động xử lý của KDIC tuân thủ nguyên tắc chi phí tối thiểu được quy định tại Luật Bảo vệ người gửi tiền và các văn bản dưới Luật có liên quan. Theo đó, KDIC cần phải lựa chọn phương pháp xử lý có chi phí nhỏ nhất đối với Quỹ BHTG. KDIC thực hiện phân tích chi phí tối thiểu</w:t>
      </w:r>
      <w:r w:rsidRPr="004D2F23">
        <w:rPr>
          <w:rFonts w:ascii="Times New Roman" w:hAnsi="Times New Roman" w:cs="Times New Roman"/>
          <w:b/>
          <w:bCs/>
          <w:sz w:val="28"/>
          <w:szCs w:val="28"/>
        </w:rPr>
        <w:t xml:space="preserve"> </w:t>
      </w:r>
      <w:r w:rsidRPr="004D2F23">
        <w:rPr>
          <w:rFonts w:ascii="Times New Roman" w:hAnsi="Times New Roman" w:cs="Times New Roman"/>
          <w:sz w:val="28"/>
          <w:szCs w:val="28"/>
        </w:rPr>
        <w:t>bằng cách so sánh chi phí thanh lý ngân hàng đổ vỡ với chi phí của các biện pháp xử lý khác như P&amp;A, Ngân hàng bắc cầu. Để phân tích chi phí, KDIC sẽ thực hiện thẩm định chi tiết (due diligence)</w:t>
      </w:r>
      <w:r w:rsidRPr="004D2F23">
        <w:rPr>
          <w:rFonts w:ascii="Times New Roman" w:hAnsi="Times New Roman" w:cs="Times New Roman"/>
          <w:b/>
          <w:bCs/>
          <w:sz w:val="28"/>
          <w:szCs w:val="28"/>
        </w:rPr>
        <w:t xml:space="preserve"> </w:t>
      </w:r>
      <w:r w:rsidRPr="004D2F23">
        <w:rPr>
          <w:rFonts w:ascii="Times New Roman" w:hAnsi="Times New Roman" w:cs="Times New Roman"/>
          <w:sz w:val="28"/>
          <w:szCs w:val="28"/>
        </w:rPr>
        <w:t xml:space="preserve">tài sản và nợ của tổ chức tài chính đổ vỡ nhằm xác định liệu phương pháp được lựa chọn có đáp ứng các yêu cầu của nguyên tắc chi phí tối thiểu và để có một đánh giá khách quan về tình hình hoạt động và tài chính của ngân hàng đổ vỡ. </w:t>
      </w:r>
    </w:p>
    <w:p w14:paraId="4FB20225"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Ngoài ra, những yếu tố chính ảnh hưởng tới việc lựa chọn phương pháp xử lý phù hợp bao gồm:</w:t>
      </w:r>
    </w:p>
    <w:p w14:paraId="7B0933CF"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xml:space="preserve">- Tầm quan trọng hệ thống của tổ chức tài chính đổ vỡ và tác động kinh tế của việc đóng cửa ngân hàng đó: đối với tổ chức tài chính có tầm quan trọng hệ thống, các cơ quan chức năng sẽ áp dụng phương pháp xử lý “mở” (Sát nhập và mua lại (M&amp;A) hoặc Hỗ trợ tài chính để ngân hàng tự phục hồi), trong đó, các nghiệp vụ hoặc các nghiệp vụ cơ bản của tổ chức tài chính tiếp tục được duy trì. Đối với tổ chức tài chính không có tầm quan trọng hệ thống, các cơ quan chức năng sẽ áp dụng phương pháp xử lý “đóng” (Phá sản/Thanh lý, P&amp;A, Ngân hàng bắc cầu), </w:t>
      </w:r>
      <w:proofErr w:type="gramStart"/>
      <w:r w:rsidRPr="004D2F23">
        <w:rPr>
          <w:rFonts w:ascii="Times New Roman" w:hAnsi="Times New Roman" w:cs="Times New Roman"/>
          <w:sz w:val="28"/>
          <w:szCs w:val="28"/>
        </w:rPr>
        <w:t>theo</w:t>
      </w:r>
      <w:proofErr w:type="gramEnd"/>
      <w:r w:rsidRPr="004D2F23">
        <w:rPr>
          <w:rFonts w:ascii="Times New Roman" w:hAnsi="Times New Roman" w:cs="Times New Roman"/>
          <w:sz w:val="28"/>
          <w:szCs w:val="28"/>
        </w:rPr>
        <w:t xml:space="preserve"> đó, tổ chức tài chính bị đóng cửa và rút khỏi hệ thống thanh toán;</w:t>
      </w:r>
    </w:p>
    <w:p w14:paraId="2B157B65"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lastRenderedPageBreak/>
        <w:t>- Mức độ thiếu vốn của tổ chức tài chính bị đổ vỡ;</w:t>
      </w:r>
    </w:p>
    <w:p w14:paraId="722B9A72"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Sự sẵn có một ngân hàng nhận mua lại toàn bộ hoặc một phần ngân hàng đổ vỡ;</w:t>
      </w:r>
    </w:p>
    <w:p w14:paraId="0DD0EF91"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Sự tác động đến mức độ tập trung của thị trường khi bán toàn bộ hoặc bán một phần ngân hàng đổ vỡ cho một ngân hàng khác;</w:t>
      </w:r>
    </w:p>
    <w:p w14:paraId="238353BC"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xml:space="preserve"> - Phạm </w:t>
      </w:r>
      <w:proofErr w:type="gramStart"/>
      <w:r w:rsidRPr="004D2F23">
        <w:rPr>
          <w:rFonts w:ascii="Times New Roman" w:hAnsi="Times New Roman" w:cs="Times New Roman"/>
          <w:sz w:val="28"/>
          <w:szCs w:val="28"/>
        </w:rPr>
        <w:t>vi</w:t>
      </w:r>
      <w:proofErr w:type="gramEnd"/>
      <w:r w:rsidRPr="004D2F23">
        <w:rPr>
          <w:rFonts w:ascii="Times New Roman" w:hAnsi="Times New Roman" w:cs="Times New Roman"/>
          <w:sz w:val="28"/>
          <w:szCs w:val="28"/>
        </w:rPr>
        <w:t xml:space="preserve"> hấp thụ tổn thất và tái cấp vốn thông qua công cụ tự cứu trợ (bail-in) của một số nhóm chủ nợ nhất định;</w:t>
      </w:r>
    </w:p>
    <w:p w14:paraId="003026C5" w14:textId="77777777" w:rsidR="00FE425C" w:rsidRPr="004D2F23" w:rsidRDefault="00FE425C" w:rsidP="00A26ADD">
      <w:pPr>
        <w:spacing w:before="120" w:after="120" w:line="276" w:lineRule="auto"/>
        <w:ind w:left="720"/>
        <w:jc w:val="both"/>
        <w:rPr>
          <w:rFonts w:ascii="Times New Roman" w:hAnsi="Times New Roman" w:cs="Times New Roman"/>
          <w:sz w:val="28"/>
          <w:szCs w:val="28"/>
        </w:rPr>
      </w:pPr>
      <w:r w:rsidRPr="004D2F23">
        <w:rPr>
          <w:rFonts w:ascii="Times New Roman" w:hAnsi="Times New Roman" w:cs="Times New Roman"/>
          <w:sz w:val="28"/>
          <w:szCs w:val="28"/>
        </w:rPr>
        <w:t xml:space="preserve">- Sự sẵn có nguồn vốn công như quỹ bảo hiểm tiền gửi hoặc quỹ xử lý. </w:t>
      </w:r>
    </w:p>
    <w:p w14:paraId="524C1461" w14:textId="6D754362" w:rsidR="00FE425C" w:rsidRPr="004D2F23" w:rsidRDefault="00FE425C" w:rsidP="00A26ADD">
      <w:pPr>
        <w:spacing w:before="120" w:line="276" w:lineRule="auto"/>
        <w:ind w:left="720"/>
        <w:jc w:val="both"/>
        <w:rPr>
          <w:rFonts w:ascii="Times New Roman" w:hAnsi="Times New Roman" w:cs="Times New Roman"/>
          <w:b/>
          <w:sz w:val="28"/>
          <w:szCs w:val="28"/>
        </w:rPr>
      </w:pPr>
      <w:r w:rsidRPr="004D2F23">
        <w:rPr>
          <w:rFonts w:ascii="Times New Roman" w:hAnsi="Times New Roman" w:cs="Times New Roman"/>
          <w:b/>
          <w:sz w:val="28"/>
          <w:szCs w:val="28"/>
        </w:rPr>
        <w:t>2.2. Quy trình các bước xử lý tổ chức tài chính</w:t>
      </w:r>
    </w:p>
    <w:p w14:paraId="4BB6ABA6"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Quy trình xử lý tổ chức tài chính tại Hàn Quốc được thực hiện qua các bước chính như sau:</w:t>
      </w:r>
    </w:p>
    <w:p w14:paraId="39E3E26F" w14:textId="77777777" w:rsidR="00FE425C" w:rsidRPr="004D2F23" w:rsidRDefault="00FE425C" w:rsidP="00A26ADD">
      <w:pPr>
        <w:numPr>
          <w:ilvl w:val="0"/>
          <w:numId w:val="3"/>
        </w:numPr>
        <w:spacing w:before="120" w:after="120" w:line="276" w:lineRule="auto"/>
        <w:jc w:val="both"/>
        <w:rPr>
          <w:rFonts w:ascii="Times New Roman" w:hAnsi="Times New Roman" w:cs="Times New Roman"/>
          <w:i/>
          <w:iCs/>
          <w:sz w:val="28"/>
          <w:szCs w:val="28"/>
        </w:rPr>
      </w:pPr>
      <w:r w:rsidRPr="004D2F23">
        <w:rPr>
          <w:rFonts w:ascii="Times New Roman" w:hAnsi="Times New Roman" w:cs="Times New Roman"/>
          <w:i/>
          <w:iCs/>
          <w:sz w:val="28"/>
          <w:szCs w:val="28"/>
        </w:rPr>
        <w:t xml:space="preserve">Thực hiện hành động khắc phục kịp thời </w:t>
      </w:r>
    </w:p>
    <w:p w14:paraId="7672A213"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xml:space="preserve"> Khi một tổ chức tài chính không đáp ứng được các tiêu chí nhất định liên quan đến sự lành mạnh về tài chính, tổ chức đó sẽ bị FSC đưa vào diện giới hạn hoạt động và phải tiến hành hành động khắc phục kịp thời. FSC sẽ đưa ra khuyến nghị hoặc yêu cầu/lệnh cải thiện hoạt động kinh doanh tùy </w:t>
      </w:r>
      <w:proofErr w:type="gramStart"/>
      <w:r w:rsidRPr="004D2F23">
        <w:rPr>
          <w:rFonts w:ascii="Times New Roman" w:hAnsi="Times New Roman" w:cs="Times New Roman"/>
          <w:sz w:val="28"/>
          <w:szCs w:val="28"/>
        </w:rPr>
        <w:t>theo</w:t>
      </w:r>
      <w:proofErr w:type="gramEnd"/>
      <w:r w:rsidRPr="004D2F23">
        <w:rPr>
          <w:rFonts w:ascii="Times New Roman" w:hAnsi="Times New Roman" w:cs="Times New Roman"/>
          <w:sz w:val="28"/>
          <w:szCs w:val="28"/>
        </w:rPr>
        <w:t xml:space="preserve"> thứ tự mức độ nghiêm trọng của vấn đề mà tổ chức tài chính gặp phải (</w:t>
      </w:r>
      <w:r w:rsidRPr="004D2F23">
        <w:rPr>
          <w:rFonts w:ascii="Times New Roman" w:hAnsi="Times New Roman" w:cs="Times New Roman"/>
          <w:i/>
          <w:iCs/>
          <w:sz w:val="28"/>
          <w:szCs w:val="28"/>
        </w:rPr>
        <w:t>cụ thể trong</w:t>
      </w:r>
      <w:r w:rsidRPr="004D2F23">
        <w:rPr>
          <w:rFonts w:ascii="Times New Roman" w:hAnsi="Times New Roman" w:cs="Times New Roman"/>
          <w:sz w:val="28"/>
          <w:szCs w:val="28"/>
        </w:rPr>
        <w:t xml:space="preserve"> </w:t>
      </w:r>
      <w:r w:rsidRPr="004D2F23">
        <w:rPr>
          <w:rFonts w:ascii="Times New Roman" w:hAnsi="Times New Roman" w:cs="Times New Roman"/>
          <w:i/>
          <w:iCs/>
          <w:sz w:val="28"/>
          <w:szCs w:val="28"/>
        </w:rPr>
        <w:t>bảng dưới đây)</w:t>
      </w:r>
      <w:r w:rsidRPr="004D2F23">
        <w:rPr>
          <w:rFonts w:ascii="Times New Roman" w:hAnsi="Times New Roman" w:cs="Times New Roman"/>
          <w:sz w:val="28"/>
          <w:szCs w:val="28"/>
        </w:rPr>
        <w:t xml:space="preserve">. </w:t>
      </w:r>
    </w:p>
    <w:p w14:paraId="26C0A65E" w14:textId="77777777" w:rsidR="00FE425C" w:rsidRPr="004D2F23" w:rsidRDefault="00FE425C" w:rsidP="00A26ADD">
      <w:pPr>
        <w:spacing w:before="120" w:after="120" w:line="276" w:lineRule="auto"/>
        <w:ind w:firstLine="709"/>
        <w:jc w:val="center"/>
        <w:rPr>
          <w:rFonts w:ascii="Times New Roman" w:hAnsi="Times New Roman" w:cs="Times New Roman"/>
          <w:b/>
          <w:bCs/>
          <w:sz w:val="28"/>
          <w:szCs w:val="28"/>
        </w:rPr>
      </w:pPr>
      <w:r w:rsidRPr="004D2F23">
        <w:rPr>
          <w:rFonts w:ascii="Times New Roman" w:hAnsi="Times New Roman" w:cs="Times New Roman"/>
          <w:b/>
          <w:bCs/>
          <w:sz w:val="28"/>
          <w:szCs w:val="28"/>
        </w:rPr>
        <w:t>Các tiêu chí và mức độ áp dụng hành động khắc phục kịp thời</w:t>
      </w:r>
    </w:p>
    <w:p w14:paraId="5FBB891E" w14:textId="46A6F233" w:rsidR="00FE425C" w:rsidRPr="004D2F23" w:rsidRDefault="00FE425C" w:rsidP="00FE425C">
      <w:pPr>
        <w:spacing w:before="120" w:after="120" w:line="300" w:lineRule="auto"/>
        <w:ind w:firstLine="709"/>
        <w:jc w:val="both"/>
        <w:rPr>
          <w:rFonts w:ascii="Times New Roman" w:hAnsi="Times New Roman" w:cs="Times New Roman"/>
          <w:sz w:val="28"/>
          <w:szCs w:val="28"/>
        </w:rPr>
      </w:pPr>
      <w:r w:rsidRPr="004D2F23">
        <w:rPr>
          <w:rFonts w:ascii="Times New Roman" w:hAnsi="Times New Roman" w:cs="Times New Roman"/>
          <w:noProof/>
          <w:sz w:val="28"/>
          <w:szCs w:val="28"/>
        </w:rPr>
        <w:lastRenderedPageBreak/>
        <w:drawing>
          <wp:anchor distT="0" distB="0" distL="114300" distR="114300" simplePos="0" relativeHeight="251658240" behindDoc="1" locked="0" layoutInCell="1" allowOverlap="1" wp14:anchorId="1B9191C9" wp14:editId="1DA24D0F">
            <wp:simplePos x="0" y="0"/>
            <wp:positionH relativeFrom="column">
              <wp:posOffset>247015</wp:posOffset>
            </wp:positionH>
            <wp:positionV relativeFrom="paragraph">
              <wp:posOffset>13335</wp:posOffset>
            </wp:positionV>
            <wp:extent cx="5494020" cy="4022725"/>
            <wp:effectExtent l="0" t="0" r="0" b="0"/>
            <wp:wrapTight wrapText="bothSides">
              <wp:wrapPolygon edited="0">
                <wp:start x="0" y="0"/>
                <wp:lineTo x="0" y="21481"/>
                <wp:lineTo x="21495" y="21481"/>
                <wp:lineTo x="2149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4020" cy="4022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883F02" w14:textId="77777777" w:rsidR="00FE425C" w:rsidRPr="004D2F23" w:rsidRDefault="00FE425C" w:rsidP="00A26ADD">
      <w:pPr>
        <w:numPr>
          <w:ilvl w:val="0"/>
          <w:numId w:val="3"/>
        </w:numPr>
        <w:spacing w:before="120" w:after="120" w:line="276" w:lineRule="auto"/>
        <w:jc w:val="both"/>
        <w:rPr>
          <w:rFonts w:ascii="Times New Roman" w:hAnsi="Times New Roman" w:cs="Times New Roman"/>
          <w:i/>
          <w:iCs/>
          <w:sz w:val="28"/>
          <w:szCs w:val="28"/>
        </w:rPr>
      </w:pPr>
      <w:r w:rsidRPr="004D2F23">
        <w:rPr>
          <w:rFonts w:ascii="Times New Roman" w:hAnsi="Times New Roman" w:cs="Times New Roman"/>
          <w:i/>
          <w:iCs/>
          <w:sz w:val="28"/>
          <w:szCs w:val="28"/>
        </w:rPr>
        <w:t xml:space="preserve">Nộp kế hoạch tái cấu trúc </w:t>
      </w:r>
    </w:p>
    <w:p w14:paraId="5DE5F3E9"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Trong trường hợp FSC đưa ra lệnh cải thiện hoạt động kinh doanh, tổ chức tài chính phải chuẩn bị và nộp một kế hoạch tái cấu trúc trong thời gian nhất định (15 ngày) cho Ủy ban đánh giá hoạt động kinh doanh (BEC) thuộc FSS xem xét.</w:t>
      </w:r>
    </w:p>
    <w:p w14:paraId="59CB16B9" w14:textId="77777777" w:rsidR="00FE425C" w:rsidRPr="004D2F23" w:rsidRDefault="00FE425C" w:rsidP="00A26ADD">
      <w:pPr>
        <w:numPr>
          <w:ilvl w:val="0"/>
          <w:numId w:val="3"/>
        </w:numPr>
        <w:spacing w:before="120" w:after="120" w:line="276" w:lineRule="auto"/>
        <w:jc w:val="both"/>
        <w:rPr>
          <w:rFonts w:ascii="Times New Roman" w:hAnsi="Times New Roman" w:cs="Times New Roman"/>
          <w:i/>
          <w:iCs/>
          <w:sz w:val="28"/>
          <w:szCs w:val="28"/>
        </w:rPr>
      </w:pPr>
      <w:r w:rsidRPr="004D2F23">
        <w:rPr>
          <w:rFonts w:ascii="Times New Roman" w:hAnsi="Times New Roman" w:cs="Times New Roman"/>
          <w:i/>
          <w:iCs/>
          <w:sz w:val="28"/>
          <w:szCs w:val="28"/>
        </w:rPr>
        <w:t>Lệnh cải thiện hoạt động và tuyên bố mất khả năng thanh toán</w:t>
      </w:r>
    </w:p>
    <w:p w14:paraId="5F339251"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xml:space="preserve">Trong trường hợp kế hoạch tái cấu trúc bị FSS bác bỏ, thì lệnh cải thiện hoạt động được xác nhận và tổ chức tài chính được FSC tuyên bố là mất khả năng thanh toán.  </w:t>
      </w:r>
    </w:p>
    <w:p w14:paraId="588128D5" w14:textId="77777777" w:rsidR="00FE425C" w:rsidRPr="004D2F23" w:rsidRDefault="00FE425C" w:rsidP="00A26ADD">
      <w:pPr>
        <w:numPr>
          <w:ilvl w:val="0"/>
          <w:numId w:val="3"/>
        </w:numPr>
        <w:spacing w:before="120" w:after="120" w:line="276" w:lineRule="auto"/>
        <w:jc w:val="both"/>
        <w:rPr>
          <w:rFonts w:ascii="Times New Roman" w:hAnsi="Times New Roman" w:cs="Times New Roman"/>
          <w:sz w:val="28"/>
          <w:szCs w:val="28"/>
        </w:rPr>
      </w:pPr>
      <w:r w:rsidRPr="004D2F23">
        <w:rPr>
          <w:rFonts w:ascii="Times New Roman" w:hAnsi="Times New Roman" w:cs="Times New Roman"/>
          <w:i/>
          <w:iCs/>
          <w:sz w:val="28"/>
          <w:szCs w:val="28"/>
        </w:rPr>
        <w:t>Tiếp quản hoạt động của tổ chức tài chính bị đổ vỡ</w:t>
      </w:r>
    </w:p>
    <w:p w14:paraId="6E08536F"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xml:space="preserve">FSC chỉ định một bên tiếp quản nhằm giám sát các hoạt động hàng ngày của tổ chức tài chính đổ vỡ, quản lý tài sản và bán thanh lý tài sản nếu cần thiết.  </w:t>
      </w:r>
    </w:p>
    <w:p w14:paraId="5075C448" w14:textId="77777777" w:rsidR="00FE425C" w:rsidRPr="004D2F23" w:rsidRDefault="00FE425C" w:rsidP="00A26ADD">
      <w:pPr>
        <w:spacing w:before="120" w:after="120" w:line="276" w:lineRule="auto"/>
        <w:ind w:firstLine="709"/>
        <w:jc w:val="both"/>
        <w:rPr>
          <w:rFonts w:ascii="Times New Roman" w:hAnsi="Times New Roman" w:cs="Times New Roman"/>
          <w:i/>
          <w:iCs/>
          <w:sz w:val="28"/>
          <w:szCs w:val="28"/>
        </w:rPr>
      </w:pPr>
      <w:r w:rsidRPr="004D2F23">
        <w:rPr>
          <w:rFonts w:ascii="Times New Roman" w:hAnsi="Times New Roman" w:cs="Times New Roman"/>
          <w:i/>
          <w:iCs/>
          <w:sz w:val="28"/>
          <w:szCs w:val="28"/>
        </w:rPr>
        <w:t>- Xác định biện pháp xử lý phù hợp và thực hiện biện pháp xử lý được lựa chọn</w:t>
      </w:r>
    </w:p>
    <w:p w14:paraId="50F7DAD8"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xml:space="preserve">Dựa trên cơ sở thẩm định chi tiết (due diligence) tài sản và nợ của tổ chức tài chính đổ vỡ, KDIC sẽ tiến hành phân tích chi phí tối thiểu cũng như xem xét các yếu tố khác, đặc biệt là xem xét rủi ro hệ thống để lựa chọn biện pháp xử lý phù hợp trong số các biện pháp: phá sản/Thanh lý, P&amp;A, ngân hàng bắc cầu, hỗ trợ tài chính, M&amp;A. </w:t>
      </w:r>
    </w:p>
    <w:p w14:paraId="4F935E65" w14:textId="77777777" w:rsidR="00FE425C" w:rsidRPr="004D2F23" w:rsidRDefault="00FE425C" w:rsidP="00FE425C">
      <w:pPr>
        <w:spacing w:before="120" w:after="120" w:line="300" w:lineRule="auto"/>
        <w:jc w:val="center"/>
        <w:rPr>
          <w:rFonts w:ascii="Times New Roman" w:hAnsi="Times New Roman" w:cs="Times New Roman"/>
          <w:b/>
          <w:sz w:val="28"/>
          <w:szCs w:val="28"/>
        </w:rPr>
      </w:pPr>
      <w:r w:rsidRPr="004D2F23">
        <w:rPr>
          <w:rFonts w:ascii="Times New Roman" w:hAnsi="Times New Roman" w:cs="Times New Roman"/>
          <w:b/>
          <w:sz w:val="28"/>
          <w:szCs w:val="28"/>
        </w:rPr>
        <w:lastRenderedPageBreak/>
        <w:t>Sơ đồ quyết định lựa chọn biện pháp xử lý</w:t>
      </w:r>
    </w:p>
    <w:p w14:paraId="63991EEF" w14:textId="5C0F6F8E" w:rsidR="00FE425C" w:rsidRPr="004D2F23" w:rsidRDefault="00FE425C" w:rsidP="00FE425C">
      <w:pPr>
        <w:spacing w:before="120" w:after="120" w:line="300" w:lineRule="auto"/>
        <w:ind w:firstLine="709"/>
        <w:jc w:val="both"/>
        <w:rPr>
          <w:rFonts w:ascii="Times New Roman" w:hAnsi="Times New Roman" w:cs="Times New Roman"/>
          <w:sz w:val="28"/>
          <w:szCs w:val="28"/>
        </w:rPr>
      </w:pPr>
      <w:r w:rsidRPr="004D2F23">
        <w:rPr>
          <w:rFonts w:ascii="Times New Roman" w:hAnsi="Times New Roman" w:cs="Times New Roman"/>
          <w:noProof/>
          <w:sz w:val="28"/>
          <w:szCs w:val="28"/>
        </w:rPr>
        <w:drawing>
          <wp:inline distT="0" distB="0" distL="0" distR="0" wp14:anchorId="3A928A49" wp14:editId="01FCD8A2">
            <wp:extent cx="4864100" cy="27736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100" cy="2773680"/>
                    </a:xfrm>
                    <a:prstGeom prst="rect">
                      <a:avLst/>
                    </a:prstGeom>
                    <a:noFill/>
                    <a:ln>
                      <a:noFill/>
                    </a:ln>
                  </pic:spPr>
                </pic:pic>
              </a:graphicData>
            </a:graphic>
          </wp:inline>
        </w:drawing>
      </w:r>
    </w:p>
    <w:p w14:paraId="0444934A"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xml:space="preserve">Sau khi lựa chọn biện pháp xử lý, KDIC đề nghị FSC ra quyết định xử lý và KDIC sẽ tiến hành thực hiện biện pháp xử lý được lựa chọn. </w:t>
      </w:r>
    </w:p>
    <w:p w14:paraId="55D336E7"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Trong trường hợp biện pháp hỗ trợ tài chính được thực hiện, tổ chức tài chính tiếp nhận vốn dưới dạng đầu tư cổ phần, góp vốn</w:t>
      </w:r>
      <w:proofErr w:type="gramStart"/>
      <w:r w:rsidRPr="004D2F23">
        <w:rPr>
          <w:rFonts w:ascii="Times New Roman" w:hAnsi="Times New Roman" w:cs="Times New Roman"/>
          <w:sz w:val="28"/>
          <w:szCs w:val="28"/>
        </w:rPr>
        <w:t>,…</w:t>
      </w:r>
      <w:proofErr w:type="gramEnd"/>
      <w:r w:rsidRPr="004D2F23">
        <w:rPr>
          <w:rFonts w:ascii="Times New Roman" w:hAnsi="Times New Roman" w:cs="Times New Roman"/>
          <w:sz w:val="28"/>
          <w:szCs w:val="28"/>
        </w:rPr>
        <w:t xml:space="preserve">từ KDIC. Đổi lại, tổ chức tài chính phải ký một thỏa thuận với KDIC trong đó cam kết thực hiện tái cơ cấu hoạt động kinh doanh. Hàng quý, KDIC sẽ tiến hành đánh giá về hoạt động và tiến độ thực hiện thỏa thuận mà tổ chức tài chính đã ký với KDIC. </w:t>
      </w:r>
    </w:p>
    <w:p w14:paraId="22EE1E87" w14:textId="430D3AAF" w:rsidR="00FE425C" w:rsidRPr="004D2F23" w:rsidRDefault="00FE425C" w:rsidP="00A26ADD">
      <w:pPr>
        <w:spacing w:before="120" w:line="276" w:lineRule="auto"/>
        <w:ind w:left="720"/>
        <w:jc w:val="both"/>
        <w:rPr>
          <w:rFonts w:ascii="Times New Roman" w:hAnsi="Times New Roman" w:cs="Times New Roman"/>
          <w:b/>
          <w:sz w:val="28"/>
          <w:szCs w:val="28"/>
        </w:rPr>
      </w:pPr>
      <w:r w:rsidRPr="004D2F23">
        <w:rPr>
          <w:rFonts w:ascii="Times New Roman" w:hAnsi="Times New Roman" w:cs="Times New Roman"/>
          <w:b/>
          <w:sz w:val="28"/>
          <w:szCs w:val="28"/>
        </w:rPr>
        <w:t>2.3. Lập kế hoạch xử lý các tổ chức tài chính có tầm quan trọng hệ thống</w:t>
      </w:r>
    </w:p>
    <w:p w14:paraId="2415D605" w14:textId="77777777" w:rsidR="00FE425C" w:rsidRPr="004D2F23" w:rsidRDefault="00FE425C" w:rsidP="00A26ADD">
      <w:pPr>
        <w:spacing w:before="120" w:after="120" w:line="276" w:lineRule="auto"/>
        <w:ind w:firstLine="709"/>
        <w:jc w:val="both"/>
        <w:rPr>
          <w:rFonts w:ascii="Times New Roman" w:hAnsi="Times New Roman" w:cs="Times New Roman"/>
          <w:b/>
          <w:bCs/>
          <w:i/>
          <w:iCs/>
          <w:sz w:val="28"/>
          <w:szCs w:val="28"/>
        </w:rPr>
      </w:pPr>
      <w:r w:rsidRPr="004D2F23">
        <w:rPr>
          <w:rFonts w:ascii="Times New Roman" w:hAnsi="Times New Roman" w:cs="Times New Roman"/>
          <w:b/>
          <w:bCs/>
          <w:i/>
          <w:iCs/>
          <w:sz w:val="28"/>
          <w:szCs w:val="28"/>
        </w:rPr>
        <w:t>Quy trình lập và phê duyệt kế hoạch xử lý</w:t>
      </w:r>
    </w:p>
    <w:p w14:paraId="74C04166"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Tại Hàn Quốc, việc xử lý các tổ chức tài chính có tầm quan trọng hệ thống (SIFI) cần phải dựa trên kế hoạch xử lý được lập trước, nhằm đảm bảo quá trình này được thực hiện một cách có trật tự và hạn chế tối đa tác động đến thị trường. Theo quy định, KDIC có trách nhiệm lập và nộp kế hoạch xử lý cho FSC. Một ủy ban của FSC sẽ đánh giá tính khả thi của kế hoạch này. Trong vòng 02 tháng kể từ khi nhận được kế hoạch, FSC phải đưa ra quyết định về việc phê duyệt kế hoạch xử lý của KDIC và thông báo kết quả cho KDIC. Trong trường hợp cần sửa đổi, KDIC sẽ tiếp nhận ý kiến của FSC và điều chỉnh kế hoạch xử lý tương ứng để tiếp tục trình FSC xem xét.</w:t>
      </w:r>
    </w:p>
    <w:p w14:paraId="0E99E01E" w14:textId="77777777" w:rsidR="00FE425C" w:rsidRPr="004D2F23" w:rsidRDefault="00FE425C" w:rsidP="00A26ADD">
      <w:pPr>
        <w:spacing w:before="120" w:after="120" w:line="276" w:lineRule="auto"/>
        <w:ind w:firstLine="709"/>
        <w:jc w:val="both"/>
        <w:rPr>
          <w:rFonts w:ascii="Times New Roman" w:hAnsi="Times New Roman" w:cs="Times New Roman"/>
          <w:b/>
          <w:bCs/>
          <w:i/>
          <w:iCs/>
          <w:sz w:val="28"/>
          <w:szCs w:val="28"/>
        </w:rPr>
      </w:pPr>
      <w:r w:rsidRPr="004D2F23">
        <w:rPr>
          <w:rFonts w:ascii="Times New Roman" w:hAnsi="Times New Roman" w:cs="Times New Roman"/>
          <w:b/>
          <w:bCs/>
          <w:i/>
          <w:iCs/>
          <w:sz w:val="28"/>
          <w:szCs w:val="28"/>
        </w:rPr>
        <w:t>Nội dung của kế hoạch xử lý</w:t>
      </w:r>
    </w:p>
    <w:p w14:paraId="40378E54"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Năm nội dung chính của kế hoạch xử lý tại Hàn Quốc bao gồm:</w:t>
      </w:r>
    </w:p>
    <w:p w14:paraId="2E5C0588"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xml:space="preserve">- Phân tích hoạt động chiến lược nhằm lựa chọn chiến lược xử lý tối ưu. Theo đó, KDIC phân tích: (i) cơ cấu tổ chức và tình hình tài chính, (ii) tính liên kết với các </w:t>
      </w:r>
      <w:r w:rsidRPr="004D2F23">
        <w:rPr>
          <w:rFonts w:ascii="Times New Roman" w:hAnsi="Times New Roman" w:cs="Times New Roman"/>
          <w:sz w:val="28"/>
          <w:szCs w:val="28"/>
        </w:rPr>
        <w:lastRenderedPageBreak/>
        <w:t>tổ chức khác trong ngành, và (iii) các pháp nhân và chức năng quan trọng, các hoạt động kinh doanh cốt lõi và các dịch vụ trọng yếu có liên quan đến tổ chức khác.</w:t>
      </w:r>
    </w:p>
    <w:p w14:paraId="1B4D0428"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Cụ thể hóa chiến lược xử lý nhằm duy trì các chức năng trọng yếu của tổ chức được xử lý và không gây gián đoạn thị trường tài chính thông qua việc lập kế hoạch tái cấu trúc cho từng tình huống cụ thể.</w:t>
      </w:r>
    </w:p>
    <w:p w14:paraId="74A52C86"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Chuẩn bị sẵn nguồn vốn xử lý và các biện pháp duy trì hoạt động của tổ chức được xử lý nhằm đảm bảo việc xử lý thành công thông qua việc rà soát và chuẩn bị: (i) nguồn vốn tự có/được cấp để xử lý, và (ii) phương thức duy trì các chức năng quan trọng và các dịch vụ trọng yếu có liên quan đến tổ chức khác.</w:t>
      </w:r>
    </w:p>
    <w:p w14:paraId="7FAA0125"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Lập kế hoạch truyền thông và chia sẻ thông tin nhằm đảm bảo thông tin liên lạc kịp thời và chính xác giữa KDIC, SIFI và các bên liên quan khác trong quá trình xử lý. Theo đó, chiến lược xử lý của KDIC xác định rõ: (i) cơ quan đưa ra quyết định và vai trò của cơ quan này đối với SIFI và các cơ quan tham gia xử lý, và (ii) kế hoạch truyền thông với các bên liên quan bao gồm người gửi tiền và các bên có liên quan để ngăn ngừa tình trạng hoảng loạn trên thị trường.</w:t>
      </w:r>
    </w:p>
    <w:p w14:paraId="37FADB02"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Đánh giá khả năng xử lý nhằm xác định và giải quyết bất kỳ trở ngại nào đối với việc thực hiện chiến lược xử lý đã chọn.</w:t>
      </w:r>
    </w:p>
    <w:p w14:paraId="2DB0AB3A" w14:textId="74666467" w:rsidR="00FE425C" w:rsidRPr="004D2F23" w:rsidRDefault="00FE425C" w:rsidP="00A26ADD">
      <w:pPr>
        <w:spacing w:before="120" w:line="276" w:lineRule="auto"/>
        <w:ind w:left="720"/>
        <w:jc w:val="both"/>
        <w:rPr>
          <w:rFonts w:ascii="Times New Roman" w:hAnsi="Times New Roman" w:cs="Times New Roman"/>
          <w:b/>
          <w:sz w:val="28"/>
          <w:szCs w:val="28"/>
        </w:rPr>
      </w:pPr>
      <w:r w:rsidRPr="004D2F23">
        <w:rPr>
          <w:rFonts w:ascii="Times New Roman" w:hAnsi="Times New Roman" w:cs="Times New Roman"/>
          <w:b/>
          <w:sz w:val="28"/>
          <w:szCs w:val="28"/>
        </w:rPr>
        <w:t>2.4. Khái quát các biện pháp xử lý của KDIC</w:t>
      </w:r>
    </w:p>
    <w:p w14:paraId="6DA59F31"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Các biện pháp xử lý mà KDIC lựa chọn và thực hiện có thể chia thành 02 nhóm: các biện pháp xử lý “đóng” và các biện pháp xử lý “mở”:</w:t>
      </w:r>
    </w:p>
    <w:p w14:paraId="05D913D0"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xml:space="preserve">- Các biện pháp xử lý “đóng”: tổ chức tài chính đổ vỡ bị đóng cửa và được rút khỏi hệ thống thanh toán. Người gửi tiền được bảo hiểm được chi trả hoặc tài khoản tiền gửi của họ được chuyển sang tổ chức tài chính khác đang hoạt động ((P&amp;A) hoặc ngân hàng bắc cầu. Tài sản của tổ chức tài chính đổ vỡ hoặc được bán cho tổ chức tài chính khác hay chuyển sang ngân hàng bắc cầu, hoặc được thanh lý </w:t>
      </w:r>
      <w:proofErr w:type="gramStart"/>
      <w:r w:rsidRPr="004D2F23">
        <w:rPr>
          <w:rFonts w:ascii="Times New Roman" w:hAnsi="Times New Roman" w:cs="Times New Roman"/>
          <w:sz w:val="28"/>
          <w:szCs w:val="28"/>
        </w:rPr>
        <w:t>theo</w:t>
      </w:r>
      <w:proofErr w:type="gramEnd"/>
      <w:r w:rsidRPr="004D2F23">
        <w:rPr>
          <w:rFonts w:ascii="Times New Roman" w:hAnsi="Times New Roman" w:cs="Times New Roman"/>
          <w:sz w:val="28"/>
          <w:szCs w:val="28"/>
        </w:rPr>
        <w:t xml:space="preserve"> thủ tục đóng cửa, phá sản tổ chức tài chính. </w:t>
      </w:r>
    </w:p>
    <w:p w14:paraId="73D9D386"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 Các biện pháp xử lý “mở”: tất cả các nghiệp vụ hoặc các nghiệp vụ cơ bản của tổ chức tài chính vẫn được tiếp tục hoạt động thông qua một số hình thức tái cấp vốn bắt buộc: ghi giảm nợ hoặc chuyển đổi nợ của tổ chức tài chính đổ vỡ thành vốn cổ phần; tổ chức tài chính khác mua lại tổ chức đổ vỡ hoặc bơm vốn cho tổ chức đổ vỡ; chuyển một số nợ của tổ chức tài chính đổ vỡ sang tổ chức tài chính khác...</w:t>
      </w:r>
    </w:p>
    <w:p w14:paraId="0694A808" w14:textId="77777777" w:rsidR="00FE425C" w:rsidRPr="004D2F23" w:rsidRDefault="00FE425C" w:rsidP="00A26ADD">
      <w:pPr>
        <w:spacing w:before="120" w:after="120" w:line="276" w:lineRule="auto"/>
        <w:ind w:firstLine="709"/>
        <w:jc w:val="both"/>
        <w:rPr>
          <w:rFonts w:ascii="Times New Roman" w:hAnsi="Times New Roman" w:cs="Times New Roman"/>
          <w:b/>
          <w:bCs/>
          <w:i/>
          <w:iCs/>
          <w:sz w:val="28"/>
          <w:szCs w:val="28"/>
        </w:rPr>
      </w:pPr>
      <w:r w:rsidRPr="004D2F23">
        <w:rPr>
          <w:rFonts w:ascii="Times New Roman" w:hAnsi="Times New Roman" w:cs="Times New Roman"/>
          <w:b/>
          <w:bCs/>
          <w:i/>
          <w:iCs/>
          <w:sz w:val="28"/>
          <w:szCs w:val="28"/>
        </w:rPr>
        <w:t>* Các biện pháp xử lý “đóng”</w:t>
      </w:r>
    </w:p>
    <w:p w14:paraId="0FFEE133" w14:textId="77777777" w:rsidR="00FE425C" w:rsidRPr="004D2F23" w:rsidRDefault="00FE425C" w:rsidP="00A26ADD">
      <w:pPr>
        <w:spacing w:before="120" w:after="120" w:line="276" w:lineRule="auto"/>
        <w:ind w:firstLine="709"/>
        <w:jc w:val="both"/>
        <w:rPr>
          <w:rFonts w:ascii="Times New Roman" w:hAnsi="Times New Roman" w:cs="Times New Roman"/>
          <w:i/>
          <w:iCs/>
          <w:sz w:val="28"/>
          <w:szCs w:val="28"/>
        </w:rPr>
      </w:pPr>
      <w:r w:rsidRPr="004D2F23">
        <w:rPr>
          <w:rFonts w:ascii="Times New Roman" w:hAnsi="Times New Roman" w:cs="Times New Roman"/>
          <w:i/>
          <w:iCs/>
          <w:sz w:val="28"/>
          <w:szCs w:val="28"/>
        </w:rPr>
        <w:t>- Phá sản/Thanh lý</w:t>
      </w:r>
    </w:p>
    <w:p w14:paraId="40120E09"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lastRenderedPageBreak/>
        <w:t xml:space="preserve">Sau khi chi trả cho người gửi tiền, tổ chức đổ vỡ bị tuyên bố phá sản và toàn bộ tài sản của tổ chức này bị thanh lý. Biện pháp này được KDIC sử dụng trong trường hợp tổ chức có quy mô tương đối nhỏ và không có tầm quan trọng đối hệ thống và khi không có tổ chức nào quan tâm đến việc mua lại và tiếp nhận tổ chức đổ vỡ quan tâm. </w:t>
      </w:r>
    </w:p>
    <w:p w14:paraId="0FB14511" w14:textId="77777777" w:rsidR="00FE425C" w:rsidRPr="004D2F23" w:rsidRDefault="00FE425C" w:rsidP="00FE425C">
      <w:pPr>
        <w:spacing w:before="120" w:after="120" w:line="300" w:lineRule="auto"/>
        <w:jc w:val="center"/>
        <w:rPr>
          <w:rFonts w:ascii="Times New Roman" w:hAnsi="Times New Roman" w:cs="Times New Roman"/>
          <w:b/>
          <w:sz w:val="28"/>
          <w:szCs w:val="28"/>
        </w:rPr>
      </w:pPr>
      <w:r w:rsidRPr="004D2F23">
        <w:rPr>
          <w:rFonts w:ascii="Times New Roman" w:hAnsi="Times New Roman" w:cs="Times New Roman"/>
          <w:b/>
          <w:sz w:val="28"/>
          <w:szCs w:val="28"/>
        </w:rPr>
        <w:t>Sơ đồ khái quát biện pháp Thanh lý/phá sản</w:t>
      </w:r>
    </w:p>
    <w:p w14:paraId="1EB34FD4" w14:textId="0051915A" w:rsidR="00FE425C" w:rsidRPr="004D2F23" w:rsidRDefault="00FE425C" w:rsidP="00FE425C">
      <w:pPr>
        <w:spacing w:before="120" w:after="120" w:line="300" w:lineRule="auto"/>
        <w:jc w:val="both"/>
        <w:rPr>
          <w:rFonts w:ascii="Times New Roman" w:hAnsi="Times New Roman" w:cs="Times New Roman"/>
          <w:sz w:val="28"/>
          <w:szCs w:val="28"/>
        </w:rPr>
      </w:pPr>
      <w:r w:rsidRPr="004D2F23">
        <w:rPr>
          <w:rFonts w:ascii="Times New Roman" w:hAnsi="Times New Roman" w:cs="Times New Roman"/>
          <w:noProof/>
          <w:sz w:val="28"/>
          <w:szCs w:val="28"/>
        </w:rPr>
        <w:drawing>
          <wp:inline distT="0" distB="0" distL="0" distR="0" wp14:anchorId="22CFEA30" wp14:editId="56BF3498">
            <wp:extent cx="6185535" cy="2827655"/>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l="2800" t="4689" b="8824"/>
                    <a:stretch>
                      <a:fillRect/>
                    </a:stretch>
                  </pic:blipFill>
                  <pic:spPr bwMode="auto">
                    <a:xfrm>
                      <a:off x="0" y="0"/>
                      <a:ext cx="6185535" cy="2827655"/>
                    </a:xfrm>
                    <a:prstGeom prst="rect">
                      <a:avLst/>
                    </a:prstGeom>
                    <a:noFill/>
                    <a:ln>
                      <a:noFill/>
                    </a:ln>
                  </pic:spPr>
                </pic:pic>
              </a:graphicData>
            </a:graphic>
          </wp:inline>
        </w:drawing>
      </w:r>
    </w:p>
    <w:p w14:paraId="600A49C3" w14:textId="77777777" w:rsidR="00FE425C" w:rsidRPr="004D2F23" w:rsidRDefault="00FE425C" w:rsidP="00A26ADD">
      <w:pPr>
        <w:spacing w:before="120" w:after="120" w:line="276" w:lineRule="auto"/>
        <w:ind w:firstLine="709"/>
        <w:jc w:val="both"/>
        <w:rPr>
          <w:rFonts w:ascii="Times New Roman" w:hAnsi="Times New Roman" w:cs="Times New Roman"/>
          <w:i/>
          <w:iCs/>
          <w:sz w:val="28"/>
          <w:szCs w:val="28"/>
        </w:rPr>
      </w:pPr>
      <w:r w:rsidRPr="004D2F23">
        <w:rPr>
          <w:rFonts w:ascii="Times New Roman" w:hAnsi="Times New Roman" w:cs="Times New Roman"/>
          <w:i/>
          <w:iCs/>
          <w:sz w:val="28"/>
          <w:szCs w:val="28"/>
        </w:rPr>
        <w:t>- Mua lại và tiếp nhận (P&amp;A)</w:t>
      </w:r>
    </w:p>
    <w:p w14:paraId="05BC9E34" w14:textId="77777777" w:rsidR="00FE425C"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Tài sản chất lượng tốt và nợ phải trả (trả (tiền gửi được bảo hiểm trong hạn mức) của tổ chức đổ vỡ được chuyển giao cho bên mua lại và tiếp nhận, tài sản xấu và nợ phải trả (tiền gửi vượt hạn mức và nợ khác) được thanh lý. KDIC sử dụng biện pháp này khi tìm được bên mua lại quan tâm tại thời điểm xử lý tổ chức tài chính đổ vỡ. Cũng như biện pháp ngân hàng bắc cầu, biện pháp P&amp;A giúp các khoản tiền gửi được bảo hiểm vẫn được duy trì do được chuyển sang ngân hàng tiếp nhận.</w:t>
      </w:r>
    </w:p>
    <w:p w14:paraId="300DD4A2" w14:textId="77777777" w:rsidR="00FE425C" w:rsidRPr="004D2F23" w:rsidRDefault="00FE425C" w:rsidP="00FE425C">
      <w:pPr>
        <w:spacing w:before="120" w:after="120" w:line="300" w:lineRule="auto"/>
        <w:jc w:val="center"/>
        <w:rPr>
          <w:rFonts w:ascii="Times New Roman" w:hAnsi="Times New Roman" w:cs="Times New Roman"/>
          <w:b/>
          <w:sz w:val="28"/>
          <w:szCs w:val="28"/>
        </w:rPr>
      </w:pPr>
      <w:r w:rsidRPr="004D2F23">
        <w:rPr>
          <w:rFonts w:ascii="Times New Roman" w:hAnsi="Times New Roman" w:cs="Times New Roman"/>
          <w:b/>
          <w:sz w:val="28"/>
          <w:szCs w:val="28"/>
        </w:rPr>
        <w:t>Sơ đồ khái quát biện pháp P&amp;A</w:t>
      </w:r>
    </w:p>
    <w:p w14:paraId="1DA316FB" w14:textId="3F1338AD" w:rsidR="00FE425C" w:rsidRPr="004D2F23" w:rsidRDefault="00FE425C" w:rsidP="00FE425C">
      <w:pPr>
        <w:spacing w:before="120" w:after="120" w:line="300" w:lineRule="auto"/>
        <w:jc w:val="center"/>
        <w:rPr>
          <w:rFonts w:ascii="Times New Roman" w:hAnsi="Times New Roman" w:cs="Times New Roman"/>
          <w:sz w:val="28"/>
          <w:szCs w:val="28"/>
        </w:rPr>
      </w:pPr>
      <w:r w:rsidRPr="004D2F23">
        <w:rPr>
          <w:rFonts w:ascii="Times New Roman" w:hAnsi="Times New Roman" w:cs="Times New Roman"/>
          <w:noProof/>
          <w:sz w:val="28"/>
          <w:szCs w:val="28"/>
        </w:rPr>
        <w:lastRenderedPageBreak/>
        <w:drawing>
          <wp:inline distT="0" distB="0" distL="0" distR="0" wp14:anchorId="1D57FAD9" wp14:editId="6E5E9F54">
            <wp:extent cx="4671695" cy="29356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1695" cy="2935605"/>
                    </a:xfrm>
                    <a:prstGeom prst="rect">
                      <a:avLst/>
                    </a:prstGeom>
                    <a:noFill/>
                    <a:ln>
                      <a:noFill/>
                    </a:ln>
                  </pic:spPr>
                </pic:pic>
              </a:graphicData>
            </a:graphic>
          </wp:inline>
        </w:drawing>
      </w:r>
    </w:p>
    <w:p w14:paraId="14B563A4" w14:textId="77777777" w:rsidR="00FE425C" w:rsidRPr="004D2F23" w:rsidRDefault="00FE425C" w:rsidP="00A26ADD">
      <w:pPr>
        <w:spacing w:before="120" w:after="120" w:line="276" w:lineRule="auto"/>
        <w:ind w:firstLine="709"/>
        <w:jc w:val="both"/>
        <w:rPr>
          <w:rFonts w:ascii="Times New Roman" w:hAnsi="Times New Roman" w:cs="Times New Roman"/>
          <w:i/>
          <w:iCs/>
          <w:sz w:val="28"/>
          <w:szCs w:val="28"/>
        </w:rPr>
      </w:pPr>
      <w:r w:rsidRPr="004D2F23">
        <w:rPr>
          <w:rFonts w:ascii="Times New Roman" w:hAnsi="Times New Roman" w:cs="Times New Roman"/>
          <w:i/>
          <w:iCs/>
          <w:sz w:val="28"/>
          <w:szCs w:val="28"/>
        </w:rPr>
        <w:t>- Ngân hàng bắc cầu</w:t>
      </w:r>
    </w:p>
    <w:p w14:paraId="0DBC56DC" w14:textId="77777777" w:rsidR="00FE425C" w:rsidRPr="004D2F23" w:rsidRDefault="00FE425C" w:rsidP="00A26ADD">
      <w:pPr>
        <w:spacing w:before="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Tài sản chất lượng tốt và nợ phải trả (tiền gửi được bảo hiểm trong hạn mức) của tổ chức đổ vỡ được tạm thời chuyển giao cho tổ chức bắc cầu được thành lập bởi KDIC, tài sản xấu và nợ phải trả (tiền gửi vượt hạn mức và nợ khác) được thanh lý. Sau một thời gian, tài sản và nợ được ngân hàng bắc cầu tiếp nhận sẽ được bán cho tổ chức tài chính tiếp nhận cuối cùng. KDIC sử dụng biện pháp này khi không tìm được bên mua lại tại thời điểm xử lý nhưng kỳ vọng sẽ có bên quan tâm khi ngân hàng ổn định trở lại. Biện pháp ngân hàng bắc cầu giúp các khoản tiền gửi được bảo hiểm vẫn được duy trì do được chuyển sang ngân hàng bắc cầu.</w:t>
      </w:r>
    </w:p>
    <w:p w14:paraId="0D5CE5F4" w14:textId="77777777" w:rsidR="00FE425C" w:rsidRPr="004D2F23" w:rsidRDefault="00FE425C" w:rsidP="00A26ADD">
      <w:pPr>
        <w:spacing w:after="120" w:line="276" w:lineRule="auto"/>
        <w:jc w:val="center"/>
        <w:rPr>
          <w:rFonts w:ascii="Times New Roman" w:hAnsi="Times New Roman" w:cs="Times New Roman"/>
          <w:sz w:val="28"/>
          <w:szCs w:val="28"/>
        </w:rPr>
      </w:pPr>
      <w:r w:rsidRPr="004D2F23">
        <w:rPr>
          <w:rFonts w:ascii="Times New Roman" w:hAnsi="Times New Roman" w:cs="Times New Roman"/>
          <w:b/>
          <w:sz w:val="28"/>
          <w:szCs w:val="28"/>
        </w:rPr>
        <w:t>Sơ đồ khái quát biện pháp Ngân hàng bắc cầu</w:t>
      </w:r>
    </w:p>
    <w:p w14:paraId="3FEE85AD" w14:textId="424F98E8" w:rsidR="00FE425C" w:rsidRPr="004D2F23" w:rsidRDefault="00FE425C" w:rsidP="00FE425C">
      <w:pPr>
        <w:spacing w:after="120" w:line="300" w:lineRule="auto"/>
        <w:jc w:val="center"/>
        <w:rPr>
          <w:rFonts w:ascii="Times New Roman" w:hAnsi="Times New Roman" w:cs="Times New Roman"/>
          <w:sz w:val="28"/>
          <w:szCs w:val="28"/>
        </w:rPr>
      </w:pPr>
      <w:r w:rsidRPr="004D2F23">
        <w:rPr>
          <w:rFonts w:ascii="Times New Roman" w:hAnsi="Times New Roman" w:cs="Times New Roman"/>
          <w:noProof/>
          <w:sz w:val="28"/>
          <w:szCs w:val="28"/>
        </w:rPr>
        <w:lastRenderedPageBreak/>
        <w:drawing>
          <wp:inline distT="0" distB="0" distL="0" distR="0" wp14:anchorId="533F0E47" wp14:editId="6E6C0D85">
            <wp:extent cx="5870575" cy="32810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70575" cy="3281045"/>
                    </a:xfrm>
                    <a:prstGeom prst="rect">
                      <a:avLst/>
                    </a:prstGeom>
                    <a:noFill/>
                    <a:ln>
                      <a:noFill/>
                    </a:ln>
                  </pic:spPr>
                </pic:pic>
              </a:graphicData>
            </a:graphic>
          </wp:inline>
        </w:drawing>
      </w:r>
    </w:p>
    <w:p w14:paraId="3C8B14FD" w14:textId="77777777" w:rsidR="00FE425C" w:rsidRPr="004D2F23" w:rsidRDefault="00FE425C" w:rsidP="00A26ADD">
      <w:pPr>
        <w:spacing w:before="120" w:after="120" w:line="276" w:lineRule="auto"/>
        <w:ind w:firstLine="709"/>
        <w:jc w:val="both"/>
        <w:rPr>
          <w:rFonts w:ascii="Times New Roman" w:hAnsi="Times New Roman" w:cs="Times New Roman"/>
          <w:b/>
          <w:bCs/>
          <w:i/>
          <w:iCs/>
          <w:sz w:val="28"/>
          <w:szCs w:val="28"/>
        </w:rPr>
      </w:pPr>
      <w:r w:rsidRPr="004D2F23">
        <w:rPr>
          <w:rFonts w:ascii="Times New Roman" w:hAnsi="Times New Roman" w:cs="Times New Roman"/>
          <w:b/>
          <w:bCs/>
          <w:i/>
          <w:iCs/>
          <w:sz w:val="28"/>
          <w:szCs w:val="28"/>
        </w:rPr>
        <w:t>* Các biện pháp xử lý “mở”</w:t>
      </w:r>
    </w:p>
    <w:p w14:paraId="3EB11144" w14:textId="77777777" w:rsidR="00FE425C" w:rsidRPr="004D2F23" w:rsidRDefault="00FE425C" w:rsidP="00A26ADD">
      <w:pPr>
        <w:spacing w:before="120" w:after="120" w:line="276" w:lineRule="auto"/>
        <w:ind w:firstLine="709"/>
        <w:jc w:val="both"/>
        <w:rPr>
          <w:rFonts w:ascii="Times New Roman" w:hAnsi="Times New Roman" w:cs="Times New Roman"/>
          <w:i/>
          <w:iCs/>
          <w:sz w:val="28"/>
          <w:szCs w:val="28"/>
          <w:lang w:val="fr-FR"/>
        </w:rPr>
      </w:pPr>
      <w:r w:rsidRPr="004D2F23">
        <w:rPr>
          <w:rFonts w:ascii="Times New Roman" w:hAnsi="Times New Roman" w:cs="Times New Roman"/>
          <w:i/>
          <w:iCs/>
          <w:sz w:val="28"/>
          <w:szCs w:val="28"/>
          <w:lang w:val="fr-FR"/>
        </w:rPr>
        <w:t>- Sáp nhập và Mua lại (M&amp;A)</w:t>
      </w:r>
    </w:p>
    <w:p w14:paraId="29F03200" w14:textId="77777777" w:rsidR="00FE425C" w:rsidRPr="004D2F23" w:rsidRDefault="00FE425C" w:rsidP="00A26ADD">
      <w:pPr>
        <w:spacing w:before="120" w:after="120" w:line="276" w:lineRule="auto"/>
        <w:ind w:firstLine="709"/>
        <w:jc w:val="both"/>
        <w:rPr>
          <w:rFonts w:ascii="Times New Roman" w:hAnsi="Times New Roman" w:cs="Times New Roman"/>
          <w:sz w:val="28"/>
          <w:szCs w:val="28"/>
          <w:lang w:val="fr-FR"/>
        </w:rPr>
      </w:pPr>
      <w:r w:rsidRPr="004D2F23">
        <w:rPr>
          <w:rFonts w:ascii="Times New Roman" w:hAnsi="Times New Roman" w:cs="Times New Roman"/>
          <w:sz w:val="28"/>
          <w:szCs w:val="28"/>
          <w:lang w:val="fr-FR"/>
        </w:rPr>
        <w:t xml:space="preserve">KDIC thực hiện dàn xếp để tổ chức tài chính đổ vỡ được bán cho bên thứ ba hoặc sáp nhập với một tổ chức khác. Điều kiện để KDIC sử dụng phương pháp này là khi tổ chức đổ vỡ có tầm quan trọng đối với hệ thống tài chính, do đó, các chức năng cơ bản của tổ chức đổ vỡ cần phải được duy trì và thị trường M&amp;A trong lĩnh vực ngân hàng sôi động để có thể tìm được bên mua lại quan tâm tại thời điểm xử lý. </w:t>
      </w:r>
    </w:p>
    <w:p w14:paraId="7EBAEABC" w14:textId="77777777" w:rsidR="00FE425C" w:rsidRPr="004D2F23" w:rsidRDefault="00FE425C" w:rsidP="00FE425C">
      <w:pPr>
        <w:spacing w:before="120" w:after="120" w:line="300" w:lineRule="auto"/>
        <w:ind w:firstLine="709"/>
        <w:jc w:val="both"/>
        <w:rPr>
          <w:rFonts w:ascii="Times New Roman" w:hAnsi="Times New Roman" w:cs="Times New Roman"/>
          <w:sz w:val="28"/>
          <w:szCs w:val="28"/>
          <w:lang w:val="fr-FR"/>
        </w:rPr>
      </w:pPr>
    </w:p>
    <w:p w14:paraId="63CC2C1A" w14:textId="77777777" w:rsidR="00FE425C" w:rsidRPr="004D2F23" w:rsidRDefault="00FE425C" w:rsidP="00FE425C">
      <w:pPr>
        <w:spacing w:before="120" w:after="120" w:line="300" w:lineRule="auto"/>
        <w:jc w:val="center"/>
        <w:rPr>
          <w:rFonts w:ascii="Times New Roman" w:hAnsi="Times New Roman" w:cs="Times New Roman"/>
          <w:b/>
          <w:sz w:val="28"/>
          <w:szCs w:val="28"/>
          <w:lang w:val="fr-FR"/>
        </w:rPr>
      </w:pPr>
      <w:r w:rsidRPr="004D2F23">
        <w:rPr>
          <w:rFonts w:ascii="Times New Roman" w:hAnsi="Times New Roman" w:cs="Times New Roman"/>
          <w:b/>
          <w:sz w:val="28"/>
          <w:szCs w:val="28"/>
          <w:lang w:val="fr-FR"/>
        </w:rPr>
        <w:t>Sơ đồ khái quát biện pháp M&amp;A</w:t>
      </w:r>
    </w:p>
    <w:p w14:paraId="2AC4BA63" w14:textId="486038CD" w:rsidR="00FE425C" w:rsidRPr="004D2F23" w:rsidRDefault="00FE425C" w:rsidP="00FE425C">
      <w:pPr>
        <w:spacing w:before="120" w:after="120" w:line="300" w:lineRule="auto"/>
        <w:jc w:val="center"/>
        <w:rPr>
          <w:rFonts w:ascii="Times New Roman" w:hAnsi="Times New Roman" w:cs="Times New Roman"/>
          <w:sz w:val="28"/>
          <w:szCs w:val="28"/>
        </w:rPr>
      </w:pPr>
      <w:r w:rsidRPr="004D2F23">
        <w:rPr>
          <w:rFonts w:ascii="Times New Roman" w:hAnsi="Times New Roman" w:cs="Times New Roman"/>
          <w:noProof/>
          <w:sz w:val="28"/>
          <w:szCs w:val="28"/>
        </w:rPr>
        <w:drawing>
          <wp:inline distT="0" distB="0" distL="0" distR="0" wp14:anchorId="3513A385" wp14:editId="1794F3F8">
            <wp:extent cx="5763260" cy="2589530"/>
            <wp:effectExtent l="0" t="0" r="889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3260" cy="2589530"/>
                    </a:xfrm>
                    <a:prstGeom prst="rect">
                      <a:avLst/>
                    </a:prstGeom>
                    <a:noFill/>
                    <a:ln>
                      <a:noFill/>
                    </a:ln>
                  </pic:spPr>
                </pic:pic>
              </a:graphicData>
            </a:graphic>
          </wp:inline>
        </w:drawing>
      </w:r>
    </w:p>
    <w:p w14:paraId="582F32BE" w14:textId="77777777" w:rsidR="00FE425C" w:rsidRPr="004D2F23" w:rsidRDefault="00FE425C" w:rsidP="00FE425C">
      <w:pPr>
        <w:spacing w:before="120" w:after="120" w:line="300" w:lineRule="auto"/>
        <w:ind w:firstLine="709"/>
        <w:jc w:val="both"/>
        <w:rPr>
          <w:rFonts w:ascii="Times New Roman" w:hAnsi="Times New Roman" w:cs="Times New Roman"/>
          <w:i/>
          <w:iCs/>
          <w:sz w:val="28"/>
          <w:szCs w:val="28"/>
        </w:rPr>
      </w:pPr>
      <w:r w:rsidRPr="004D2F23">
        <w:rPr>
          <w:rFonts w:ascii="Times New Roman" w:hAnsi="Times New Roman" w:cs="Times New Roman"/>
          <w:i/>
          <w:iCs/>
          <w:sz w:val="28"/>
          <w:szCs w:val="28"/>
        </w:rPr>
        <w:lastRenderedPageBreak/>
        <w:t>- Hỗ trợ tài chính</w:t>
      </w:r>
    </w:p>
    <w:p w14:paraId="25BA8781" w14:textId="77777777" w:rsidR="00FE425C" w:rsidRPr="004D2F23" w:rsidRDefault="00FE425C" w:rsidP="00FE425C">
      <w:pPr>
        <w:spacing w:before="120" w:after="120" w:line="300" w:lineRule="auto"/>
        <w:jc w:val="center"/>
        <w:rPr>
          <w:rFonts w:ascii="Times New Roman" w:hAnsi="Times New Roman" w:cs="Times New Roman"/>
          <w:b/>
          <w:sz w:val="28"/>
          <w:szCs w:val="28"/>
        </w:rPr>
      </w:pPr>
      <w:r w:rsidRPr="004D2F23">
        <w:rPr>
          <w:rFonts w:ascii="Times New Roman" w:hAnsi="Times New Roman" w:cs="Times New Roman"/>
          <w:b/>
          <w:sz w:val="28"/>
          <w:szCs w:val="28"/>
        </w:rPr>
        <w:t>Sơ đồ khái quát biện pháp Hỗ trợ tài chính</w:t>
      </w:r>
    </w:p>
    <w:p w14:paraId="7FED2997" w14:textId="675C1702" w:rsidR="00FE425C" w:rsidRPr="004D2F23" w:rsidRDefault="00FE425C" w:rsidP="00FE425C">
      <w:pPr>
        <w:spacing w:before="120" w:after="120" w:line="300" w:lineRule="auto"/>
        <w:jc w:val="center"/>
        <w:rPr>
          <w:rFonts w:ascii="Times New Roman" w:hAnsi="Times New Roman" w:cs="Times New Roman"/>
          <w:sz w:val="28"/>
          <w:szCs w:val="28"/>
        </w:rPr>
      </w:pPr>
      <w:r w:rsidRPr="004D2F23">
        <w:rPr>
          <w:rFonts w:ascii="Times New Roman" w:hAnsi="Times New Roman" w:cs="Times New Roman"/>
          <w:noProof/>
          <w:sz w:val="28"/>
          <w:szCs w:val="28"/>
        </w:rPr>
        <w:drawing>
          <wp:inline distT="0" distB="0" distL="0" distR="0" wp14:anchorId="4D74E41B" wp14:editId="3B1D1FDC">
            <wp:extent cx="5609590" cy="2420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9590" cy="2420620"/>
                    </a:xfrm>
                    <a:prstGeom prst="rect">
                      <a:avLst/>
                    </a:prstGeom>
                    <a:noFill/>
                    <a:ln>
                      <a:noFill/>
                    </a:ln>
                  </pic:spPr>
                </pic:pic>
              </a:graphicData>
            </a:graphic>
          </wp:inline>
        </w:drawing>
      </w:r>
    </w:p>
    <w:p w14:paraId="086BBBCC" w14:textId="6EE8D32A" w:rsidR="00191A4F" w:rsidRPr="004D2F23" w:rsidRDefault="00FE425C" w:rsidP="00A26ADD">
      <w:pPr>
        <w:spacing w:before="120" w:after="120" w:line="276" w:lineRule="auto"/>
        <w:ind w:firstLine="709"/>
        <w:jc w:val="both"/>
        <w:rPr>
          <w:rFonts w:ascii="Times New Roman" w:hAnsi="Times New Roman" w:cs="Times New Roman"/>
          <w:sz w:val="28"/>
          <w:szCs w:val="28"/>
        </w:rPr>
      </w:pPr>
      <w:r w:rsidRPr="004D2F23">
        <w:rPr>
          <w:rFonts w:ascii="Times New Roman" w:hAnsi="Times New Roman" w:cs="Times New Roman"/>
          <w:sz w:val="28"/>
          <w:szCs w:val="28"/>
        </w:rPr>
        <w:t>KDIC sẽ thực hiện đầu tư vốn cổ phần hoặc góp vốn vào tổ chức tài chính đổ vỡ nhằm phục hồi tổ chức đổ vỡ. Tổ chức đổ vỡ vẫn giữ nguyên tên gọi của minh. KDIC áp dụng biện pháp này khi tổ chức đổ vỡ có tầm quan trọng đối với hệ thống tài chính, do đó, các chức năng cơ bản của tổ chức đổ vỡ cần phải được duy trì trong khi việc áp dụng biện pháp khác như M&amp;A không khả thi. Mục đích của biện pháp này là nhằm để tổ chức đổ vỡ tự phục hồi sau khi thị trường tài chính hoạt động bình thường trở lại.</w:t>
      </w:r>
    </w:p>
    <w:p w14:paraId="2EE4F038" w14:textId="5B60348D" w:rsidR="000216BB" w:rsidRPr="004D2F23" w:rsidRDefault="000216BB" w:rsidP="00A26ADD">
      <w:pPr>
        <w:spacing w:before="120" w:after="120" w:line="276" w:lineRule="auto"/>
        <w:ind w:firstLine="709"/>
        <w:jc w:val="both"/>
        <w:rPr>
          <w:rFonts w:ascii="Times New Roman" w:hAnsi="Times New Roman" w:cs="Times New Roman"/>
          <w:b/>
          <w:sz w:val="28"/>
          <w:szCs w:val="28"/>
        </w:rPr>
      </w:pPr>
      <w:r w:rsidRPr="004D2F23">
        <w:rPr>
          <w:rFonts w:ascii="Times New Roman" w:hAnsi="Times New Roman" w:cs="Times New Roman"/>
          <w:b/>
          <w:sz w:val="28"/>
          <w:szCs w:val="28"/>
        </w:rPr>
        <w:t>3. Mỹ</w:t>
      </w:r>
    </w:p>
    <w:p w14:paraId="04FA7154" w14:textId="71551B5A" w:rsidR="000216BB" w:rsidRPr="004D2F23" w:rsidRDefault="000216BB" w:rsidP="00AC396D">
      <w:pPr>
        <w:tabs>
          <w:tab w:val="left" w:pos="540"/>
        </w:tabs>
        <w:spacing w:after="120" w:line="264" w:lineRule="auto"/>
        <w:ind w:firstLine="720"/>
        <w:jc w:val="both"/>
        <w:rPr>
          <w:rFonts w:ascii="Times New Roman" w:hAnsi="Times New Roman" w:cs="Times New Roman"/>
          <w:sz w:val="28"/>
          <w:szCs w:val="28"/>
        </w:rPr>
      </w:pPr>
      <w:r w:rsidRPr="004D2F23">
        <w:rPr>
          <w:rFonts w:ascii="Times New Roman" w:hAnsi="Times New Roman" w:cs="Times New Roman"/>
          <w:sz w:val="28"/>
          <w:szCs w:val="28"/>
        </w:rPr>
        <w:t>Tại Mỹ, thỏa thuận chia sẻ tổn thất thường được áp dụng trong giao dịch mua lại và tiếp nhận (P&amp;A) và có đôi nét giống với chính sách bù đắp tiền gửi.</w:t>
      </w:r>
      <w:r w:rsidR="00AC396D" w:rsidRPr="004D2F23">
        <w:rPr>
          <w:rFonts w:ascii="Times New Roman" w:hAnsi="Times New Roman" w:cs="Times New Roman"/>
          <w:sz w:val="28"/>
          <w:szCs w:val="28"/>
        </w:rPr>
        <w:t xml:space="preserve"> </w:t>
      </w:r>
      <w:r w:rsidR="00781397" w:rsidRPr="004D2F23">
        <w:rPr>
          <w:rFonts w:ascii="Times New Roman" w:hAnsi="Times New Roman" w:cs="Times New Roman"/>
          <w:sz w:val="28"/>
          <w:szCs w:val="28"/>
        </w:rPr>
        <w:t xml:space="preserve">Công ty bảo hiểm tiền gửi liên bang Hòa </w:t>
      </w:r>
      <w:proofErr w:type="gramStart"/>
      <w:r w:rsidR="00781397" w:rsidRPr="004D2F23">
        <w:rPr>
          <w:rFonts w:ascii="Times New Roman" w:hAnsi="Times New Roman" w:cs="Times New Roman"/>
          <w:sz w:val="28"/>
          <w:szCs w:val="28"/>
        </w:rPr>
        <w:t>kỳ</w:t>
      </w:r>
      <w:r w:rsidR="00781397" w:rsidRPr="004D2F23">
        <w:rPr>
          <w:rFonts w:cs="Times New Roman"/>
          <w:szCs w:val="28"/>
        </w:rPr>
        <w:t xml:space="preserve">  </w:t>
      </w:r>
      <w:r w:rsidR="00781397" w:rsidRPr="004D2F23">
        <w:rPr>
          <w:rFonts w:ascii="Times New Roman" w:hAnsi="Times New Roman" w:cs="Times New Roman"/>
          <w:sz w:val="28"/>
          <w:szCs w:val="28"/>
        </w:rPr>
        <w:t>(</w:t>
      </w:r>
      <w:proofErr w:type="gramEnd"/>
      <w:r w:rsidR="00AC396D" w:rsidRPr="004D2F23">
        <w:rPr>
          <w:rFonts w:ascii="Times New Roman" w:hAnsi="Times New Roman" w:cs="Times New Roman"/>
          <w:sz w:val="28"/>
          <w:szCs w:val="28"/>
        </w:rPr>
        <w:t>FDIC</w:t>
      </w:r>
      <w:r w:rsidR="00781397" w:rsidRPr="004D2F23">
        <w:rPr>
          <w:rFonts w:ascii="Times New Roman" w:hAnsi="Times New Roman" w:cs="Times New Roman"/>
          <w:sz w:val="28"/>
          <w:szCs w:val="28"/>
        </w:rPr>
        <w:t>)</w:t>
      </w:r>
      <w:r w:rsidR="00AC396D" w:rsidRPr="004D2F23">
        <w:rPr>
          <w:rFonts w:ascii="Times New Roman" w:hAnsi="Times New Roman" w:cs="Times New Roman"/>
          <w:sz w:val="28"/>
          <w:szCs w:val="28"/>
        </w:rPr>
        <w:t xml:space="preserve"> là một trong những tổ chức BHTG có nhiều kinh nghiệm trong việc áp dụng P&amp;A. Cụ thể, kể từ năm 2007, P&amp;A chiếm khoảng 95% tổng số trường hợp xử lý của FDIC, thường gồm một bên mua duy nhất tiếp nhận phần lớn nợ của ngân hàng yếu kém</w:t>
      </w:r>
      <w:r w:rsidR="00AC396D" w:rsidRPr="004D2F23">
        <w:rPr>
          <w:rFonts w:ascii="Times New Roman" w:hAnsi="Times New Roman" w:cs="Times New Roman"/>
          <w:sz w:val="28"/>
          <w:szCs w:val="28"/>
          <w:vertAlign w:val="superscript"/>
        </w:rPr>
        <w:footnoteReference w:id="10"/>
      </w:r>
      <w:r w:rsidR="00AC396D" w:rsidRPr="004D2F23">
        <w:rPr>
          <w:rFonts w:ascii="Times New Roman" w:hAnsi="Times New Roman" w:cs="Times New Roman"/>
          <w:sz w:val="28"/>
          <w:szCs w:val="28"/>
        </w:rPr>
        <w:t>.</w:t>
      </w:r>
    </w:p>
    <w:p w14:paraId="66B8DBB6" w14:textId="77777777" w:rsidR="000216BB" w:rsidRPr="004D2F23" w:rsidRDefault="000216BB" w:rsidP="000216BB">
      <w:pPr>
        <w:tabs>
          <w:tab w:val="left" w:pos="540"/>
        </w:tabs>
        <w:spacing w:after="120" w:line="264" w:lineRule="auto"/>
        <w:ind w:firstLine="720"/>
        <w:jc w:val="both"/>
        <w:rPr>
          <w:rFonts w:ascii="Times New Roman" w:hAnsi="Times New Roman" w:cs="Times New Roman"/>
          <w:sz w:val="28"/>
          <w:szCs w:val="28"/>
        </w:rPr>
      </w:pPr>
      <w:r w:rsidRPr="004D2F23">
        <w:rPr>
          <w:rFonts w:ascii="Times New Roman" w:hAnsi="Times New Roman" w:cs="Times New Roman"/>
          <w:sz w:val="28"/>
          <w:szCs w:val="28"/>
        </w:rPr>
        <w:t>Về thẩm quyền xử lý nói chung và thực hiện P&amp;A nói riêng, nhìn chung, FDIC là cơ quan duy nhất có trách nhiệm xử lý tổ chức tài chính đổ vỡ tại Mỹ. Thông thường, Cơ quan kiểm soát tiền tệ (OCC) hoặc Cơ quan quản lý cấp liên bang sẽ chỉ định FDIC là cơ quan tiếp nhận, tuy nhiên trong trường hợp đặc biệt</w:t>
      </w:r>
      <w:r w:rsidRPr="004D2F23">
        <w:rPr>
          <w:rStyle w:val="FootnoteReference"/>
          <w:rFonts w:ascii="Times New Roman" w:hAnsi="Times New Roman" w:cs="Times New Roman"/>
          <w:sz w:val="28"/>
          <w:szCs w:val="28"/>
        </w:rPr>
        <w:footnoteReference w:id="11"/>
      </w:r>
      <w:r w:rsidRPr="004D2F23">
        <w:rPr>
          <w:rFonts w:ascii="Times New Roman" w:hAnsi="Times New Roman" w:cs="Times New Roman"/>
          <w:sz w:val="28"/>
          <w:szCs w:val="28"/>
        </w:rPr>
        <w:t xml:space="preserve">, FDIC có thể tự chỉ định mình là cơ quan tiếp nhận. Các cơ quan chính trong mạng </w:t>
      </w:r>
      <w:proofErr w:type="gramStart"/>
      <w:r w:rsidRPr="004D2F23">
        <w:rPr>
          <w:rFonts w:ascii="Times New Roman" w:hAnsi="Times New Roman" w:cs="Times New Roman"/>
          <w:sz w:val="28"/>
          <w:szCs w:val="28"/>
        </w:rPr>
        <w:t>an</w:t>
      </w:r>
      <w:proofErr w:type="gramEnd"/>
      <w:r w:rsidRPr="004D2F23">
        <w:rPr>
          <w:rFonts w:ascii="Times New Roman" w:hAnsi="Times New Roman" w:cs="Times New Roman"/>
          <w:sz w:val="28"/>
          <w:szCs w:val="28"/>
        </w:rPr>
        <w:t xml:space="preserve"> toàn tài chính Mỹ bao </w:t>
      </w:r>
      <w:r w:rsidRPr="004D2F23">
        <w:rPr>
          <w:rFonts w:ascii="Times New Roman" w:hAnsi="Times New Roman" w:cs="Times New Roman"/>
          <w:sz w:val="28"/>
          <w:szCs w:val="28"/>
        </w:rPr>
        <w:lastRenderedPageBreak/>
        <w:t>gồm: (i) Cục dự trữ liên bang (FED): người cho vay cuối cùng, giám sát/ điều tiết; (ii) OCC: giám sát/ điều tiết; và (iii) FDIC: BHTG, giám sát/ điều tiết, xử lý đổ vỡ.</w:t>
      </w:r>
    </w:p>
    <w:p w14:paraId="5CD1BFF7" w14:textId="77777777" w:rsidR="000216BB" w:rsidRPr="004D2F23" w:rsidRDefault="000216BB" w:rsidP="000216BB">
      <w:pPr>
        <w:tabs>
          <w:tab w:val="left" w:pos="540"/>
        </w:tabs>
        <w:spacing w:after="120" w:line="264" w:lineRule="auto"/>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Với tư cách là tổ chức BHTG, FDIC duy trì, quản lý và kiểm soát các rủi ro đối với quỹ BHTG. Bất cứ khi nào một tổ chức nhận tiền gửi được bảo hiểm cấp liên bang đổ vỡ, FDIC sẽ thanh toán các khoản tiền gửi được bảo hiểm hoặc sắp xếp việc chuyển các tài khoản từ tổ chức đổ vỡ sang một tổ chức tiếp nhận/ mua lại. Với vai trò là cơ quan tiếp nhận, FDIC được ủy thác/ có trách nhiệm tối đa hóa số tiền </w:t>
      </w:r>
      <w:proofErr w:type="gramStart"/>
      <w:r w:rsidRPr="004D2F23">
        <w:rPr>
          <w:rFonts w:ascii="Times New Roman" w:hAnsi="Times New Roman" w:cs="Times New Roman"/>
          <w:sz w:val="28"/>
          <w:szCs w:val="28"/>
        </w:rPr>
        <w:t>thu</w:t>
      </w:r>
      <w:proofErr w:type="gramEnd"/>
      <w:r w:rsidRPr="004D2F23">
        <w:rPr>
          <w:rFonts w:ascii="Times New Roman" w:hAnsi="Times New Roman" w:cs="Times New Roman"/>
          <w:sz w:val="28"/>
          <w:szCs w:val="28"/>
        </w:rPr>
        <w:t xml:space="preserve"> hồi cho tổ chức đổ vỡ thông qua việc bán tài sản và xử lý yêu cầu bồi thường trong quá trình tiếp nhận. Số tiền </w:t>
      </w:r>
      <w:proofErr w:type="gramStart"/>
      <w:r w:rsidRPr="004D2F23">
        <w:rPr>
          <w:rFonts w:ascii="Times New Roman" w:hAnsi="Times New Roman" w:cs="Times New Roman"/>
          <w:sz w:val="28"/>
          <w:szCs w:val="28"/>
        </w:rPr>
        <w:t>thu</w:t>
      </w:r>
      <w:proofErr w:type="gramEnd"/>
      <w:r w:rsidRPr="004D2F23">
        <w:rPr>
          <w:rFonts w:ascii="Times New Roman" w:hAnsi="Times New Roman" w:cs="Times New Roman"/>
          <w:sz w:val="28"/>
          <w:szCs w:val="28"/>
        </w:rPr>
        <w:t xml:space="preserve"> hồi được từ việc bán tài sản và giải quyết các yêu cầu bồi thường hợp lệ sẽ được phân bổ cho những chủ nợ (của ngân hàng đổ vỡ) theo thứ tự ưu tiên như pháp luật quy định.</w:t>
      </w:r>
    </w:p>
    <w:p w14:paraId="75BE5852" w14:textId="77777777" w:rsidR="000216BB" w:rsidRPr="004D2F23" w:rsidRDefault="000216BB" w:rsidP="000216BB">
      <w:pPr>
        <w:tabs>
          <w:tab w:val="left" w:pos="540"/>
        </w:tabs>
        <w:spacing w:after="120" w:line="264" w:lineRule="auto"/>
        <w:ind w:firstLine="720"/>
        <w:jc w:val="both"/>
        <w:rPr>
          <w:rFonts w:ascii="Times New Roman" w:hAnsi="Times New Roman" w:cs="Times New Roman"/>
          <w:sz w:val="28"/>
          <w:szCs w:val="28"/>
        </w:rPr>
      </w:pPr>
      <w:r w:rsidRPr="004D2F23">
        <w:rPr>
          <w:rFonts w:ascii="Times New Roman" w:hAnsi="Times New Roman" w:cs="Times New Roman"/>
          <w:sz w:val="28"/>
          <w:szCs w:val="28"/>
        </w:rPr>
        <w:t>Nguyên tắc xử lý của FDIC là đảm bảo chi phí thấp nhất (Luật BHTG 12 U.S.C§1823(c</w:t>
      </w:r>
      <w:proofErr w:type="gramStart"/>
      <w:r w:rsidRPr="004D2F23">
        <w:rPr>
          <w:rFonts w:ascii="Times New Roman" w:hAnsi="Times New Roman" w:cs="Times New Roman"/>
          <w:sz w:val="28"/>
          <w:szCs w:val="28"/>
        </w:rPr>
        <w:t>)(</w:t>
      </w:r>
      <w:proofErr w:type="gramEnd"/>
      <w:r w:rsidRPr="004D2F23">
        <w:rPr>
          <w:rFonts w:ascii="Times New Roman" w:hAnsi="Times New Roman" w:cs="Times New Roman"/>
          <w:sz w:val="28"/>
          <w:szCs w:val="28"/>
        </w:rPr>
        <w:t xml:space="preserve">4)). Với việc thông qua Luật cải cách FDIC (FDICIA) năm 1991, FDIC phải lựa chọn phương pháp xử lý ít gây tổn thất nhất cho quỹ BHTG: chọn phương thức P&amp;A hay chi trả tiền bảo hiểm cho người gửi tiền. Với phương thức P&amp;A, FDIC sẽ phải lựa chọn phương án tối thiểu hóa chi phí giữa các hình thức P&amp;A cơ bản, P&amp;A toàn bộ ngân hàng, P&amp;A với việc chia sẻ tổn thất tùy chọn, hoặc P&amp;A qua ngân hàng bắc cầu. </w:t>
      </w:r>
    </w:p>
    <w:p w14:paraId="224F29B7" w14:textId="77777777" w:rsidR="000216BB" w:rsidRPr="004D2F23" w:rsidRDefault="000216BB" w:rsidP="000216BB">
      <w:pPr>
        <w:tabs>
          <w:tab w:val="left" w:pos="540"/>
        </w:tabs>
        <w:spacing w:after="120" w:line="264" w:lineRule="auto"/>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Tuy nhiên, yêu cầu về chi phí tối thiểu có thể được miễn thực hiện khi Bộ trưởng Bộ Tài chính đưa ra quyết định (theo khuyến nghị của Chủ tịch FDIC và Hội đồng Thống đốc của FED) rằng việc thực hiện theo nguyên tắc chi phí tối thiểu đó sẽ có những tác động bất lợi nghiêm trọng đến điều kiện kinh tế hoặc sự ổn định tài chính. </w:t>
      </w:r>
    </w:p>
    <w:p w14:paraId="520028EC" w14:textId="77777777" w:rsidR="000216BB" w:rsidRPr="004D2F23" w:rsidRDefault="000216BB" w:rsidP="000216BB">
      <w:pPr>
        <w:tabs>
          <w:tab w:val="left" w:pos="540"/>
        </w:tabs>
        <w:spacing w:after="120" w:line="264" w:lineRule="auto"/>
        <w:ind w:firstLine="720"/>
        <w:jc w:val="both"/>
        <w:rPr>
          <w:rFonts w:ascii="Times New Roman" w:eastAsia="Arial" w:hAnsi="Times New Roman" w:cs="Times New Roman"/>
          <w:b/>
          <w:bCs/>
          <w:sz w:val="28"/>
          <w:szCs w:val="28"/>
        </w:rPr>
      </w:pPr>
      <w:r w:rsidRPr="004D2F23">
        <w:rPr>
          <w:rFonts w:ascii="Times New Roman" w:hAnsi="Times New Roman" w:cs="Times New Roman"/>
          <w:sz w:val="28"/>
          <w:szCs w:val="28"/>
        </w:rPr>
        <w:t>Theo tài liệu nghiên cứu P&amp;A năm 2019 của IADI, quy trình thực hiện P&amp;A tại Hoa Kỳ được thực hiện như sau:</w:t>
      </w:r>
    </w:p>
    <w:p w14:paraId="6B2EBE99" w14:textId="37DAF06F" w:rsidR="000216BB" w:rsidRPr="004D2F23" w:rsidRDefault="000216BB" w:rsidP="000216BB">
      <w:pPr>
        <w:tabs>
          <w:tab w:val="left" w:pos="540"/>
        </w:tabs>
        <w:spacing w:after="120" w:line="264" w:lineRule="auto"/>
        <w:ind w:firstLine="720"/>
        <w:jc w:val="center"/>
        <w:rPr>
          <w:rFonts w:ascii="Times New Roman" w:eastAsia="Arial" w:hAnsi="Times New Roman" w:cs="Times New Roman"/>
          <w:b/>
          <w:bCs/>
          <w:sz w:val="28"/>
          <w:szCs w:val="28"/>
        </w:rPr>
      </w:pPr>
      <w:r w:rsidRPr="004D2F23">
        <w:rPr>
          <w:rFonts w:ascii="Times New Roman" w:eastAsia="Arial" w:hAnsi="Times New Roman" w:cs="Times New Roman"/>
          <w:b/>
          <w:bCs/>
          <w:sz w:val="28"/>
          <w:szCs w:val="28"/>
        </w:rPr>
        <w:t xml:space="preserve">Bảng 1: Quy trình </w:t>
      </w:r>
      <w:r w:rsidRPr="004D2F23">
        <w:rPr>
          <w:rFonts w:ascii="Times New Roman" w:eastAsia="Arial" w:hAnsi="Times New Roman" w:cs="Times New Roman"/>
          <w:b/>
          <w:bCs/>
          <w:sz w:val="28"/>
          <w:szCs w:val="28"/>
          <w:lang w:val="it-IT"/>
        </w:rPr>
        <w:t xml:space="preserve">thực hiện </w:t>
      </w:r>
      <w:r w:rsidRPr="004D2F23">
        <w:rPr>
          <w:rFonts w:ascii="Times New Roman" w:eastAsia="Arial" w:hAnsi="Times New Roman" w:cs="Times New Roman"/>
          <w:b/>
          <w:bCs/>
          <w:sz w:val="28"/>
          <w:szCs w:val="28"/>
        </w:rPr>
        <w:t xml:space="preserve">P&amp;A </w:t>
      </w:r>
      <w:r w:rsidRPr="004D2F23">
        <w:rPr>
          <w:rFonts w:ascii="Times New Roman" w:eastAsia="Arial" w:hAnsi="Times New Roman" w:cs="Times New Roman"/>
          <w:b/>
          <w:bCs/>
          <w:sz w:val="28"/>
          <w:szCs w:val="28"/>
          <w:lang w:val="it-IT"/>
        </w:rPr>
        <w:t>tại</w:t>
      </w:r>
      <w:r w:rsidRPr="004D2F23">
        <w:rPr>
          <w:rFonts w:ascii="Times New Roman" w:eastAsia="Arial" w:hAnsi="Times New Roman" w:cs="Times New Roman"/>
          <w:b/>
          <w:bCs/>
          <w:sz w:val="28"/>
          <w:szCs w:val="28"/>
        </w:rPr>
        <w:t xml:space="preserve"> Hoa Kỳ</w:t>
      </w:r>
      <w:r w:rsidRPr="004D2F23">
        <w:rPr>
          <w:rStyle w:val="FootnoteReference"/>
          <w:rFonts w:ascii="Times New Roman" w:eastAsia="Arial" w:hAnsi="Times New Roman" w:cs="Times New Roman"/>
          <w:b/>
          <w:bCs/>
          <w:sz w:val="28"/>
          <w:szCs w:val="28"/>
        </w:rPr>
        <w:footnoteReference w:id="1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8445"/>
      </w:tblGrid>
      <w:tr w:rsidR="004D2F23" w:rsidRPr="004D2F23" w14:paraId="130D9EC9" w14:textId="77777777" w:rsidTr="002D39C7">
        <w:trPr>
          <w:trHeight w:val="375"/>
          <w:tblHeader/>
        </w:trPr>
        <w:tc>
          <w:tcPr>
            <w:tcW w:w="569" w:type="pct"/>
            <w:tcBorders>
              <w:top w:val="single" w:sz="4" w:space="0" w:color="auto"/>
              <w:left w:val="single" w:sz="4" w:space="0" w:color="auto"/>
              <w:bottom w:val="single" w:sz="4" w:space="0" w:color="auto"/>
              <w:right w:val="single" w:sz="4" w:space="0" w:color="auto"/>
            </w:tcBorders>
          </w:tcPr>
          <w:p w14:paraId="7B52DDC1" w14:textId="77777777" w:rsidR="000216BB" w:rsidRPr="004D2F23" w:rsidRDefault="000216BB" w:rsidP="002D39C7">
            <w:pPr>
              <w:tabs>
                <w:tab w:val="left" w:pos="540"/>
              </w:tabs>
              <w:spacing w:after="120" w:line="264" w:lineRule="auto"/>
              <w:jc w:val="center"/>
              <w:rPr>
                <w:rFonts w:ascii="Times New Roman" w:eastAsia="Arial" w:hAnsi="Times New Roman" w:cs="Times New Roman"/>
                <w:b/>
                <w:bCs/>
                <w:sz w:val="28"/>
                <w:szCs w:val="28"/>
              </w:rPr>
            </w:pPr>
            <w:r w:rsidRPr="004D2F23">
              <w:rPr>
                <w:rFonts w:ascii="Times New Roman" w:eastAsia="Arial" w:hAnsi="Times New Roman" w:cs="Times New Roman"/>
                <w:b/>
                <w:bCs/>
                <w:sz w:val="28"/>
                <w:szCs w:val="28"/>
              </w:rPr>
              <w:t>Bước</w:t>
            </w:r>
          </w:p>
        </w:tc>
        <w:tc>
          <w:tcPr>
            <w:tcW w:w="4431" w:type="pct"/>
            <w:tcBorders>
              <w:top w:val="single" w:sz="4" w:space="0" w:color="auto"/>
              <w:left w:val="single" w:sz="4" w:space="0" w:color="auto"/>
              <w:bottom w:val="single" w:sz="4" w:space="0" w:color="auto"/>
              <w:right w:val="single" w:sz="4" w:space="0" w:color="auto"/>
            </w:tcBorders>
            <w:shd w:val="clear" w:color="auto" w:fill="auto"/>
          </w:tcPr>
          <w:p w14:paraId="35121DCA" w14:textId="77777777" w:rsidR="000216BB" w:rsidRPr="004D2F23" w:rsidRDefault="000216BB" w:rsidP="002D39C7">
            <w:pPr>
              <w:tabs>
                <w:tab w:val="left" w:pos="540"/>
              </w:tabs>
              <w:spacing w:after="120" w:line="264" w:lineRule="auto"/>
              <w:jc w:val="center"/>
              <w:rPr>
                <w:rFonts w:ascii="Times New Roman" w:eastAsia="Arial" w:hAnsi="Times New Roman" w:cs="Times New Roman"/>
                <w:b/>
                <w:bCs/>
                <w:sz w:val="28"/>
                <w:szCs w:val="28"/>
              </w:rPr>
            </w:pPr>
            <w:r w:rsidRPr="004D2F23">
              <w:rPr>
                <w:rFonts w:ascii="Times New Roman" w:eastAsia="Arial" w:hAnsi="Times New Roman" w:cs="Times New Roman"/>
                <w:b/>
                <w:bCs/>
                <w:sz w:val="28"/>
                <w:szCs w:val="28"/>
              </w:rPr>
              <w:t>Nội dung</w:t>
            </w:r>
          </w:p>
        </w:tc>
      </w:tr>
      <w:tr w:rsidR="004D2F23" w:rsidRPr="004D2F23" w14:paraId="1449932B" w14:textId="77777777" w:rsidTr="002D39C7">
        <w:trPr>
          <w:trHeight w:val="751"/>
        </w:trPr>
        <w:tc>
          <w:tcPr>
            <w:tcW w:w="569" w:type="pct"/>
            <w:tcBorders>
              <w:top w:val="single" w:sz="4" w:space="0" w:color="auto"/>
              <w:left w:val="single" w:sz="4" w:space="0" w:color="auto"/>
              <w:bottom w:val="single" w:sz="4" w:space="0" w:color="auto"/>
              <w:right w:val="single" w:sz="4" w:space="0" w:color="auto"/>
            </w:tcBorders>
          </w:tcPr>
          <w:p w14:paraId="0C9134AD" w14:textId="77777777" w:rsidR="000216BB" w:rsidRPr="004D2F23" w:rsidRDefault="000216BB" w:rsidP="002D39C7">
            <w:pPr>
              <w:tabs>
                <w:tab w:val="left" w:pos="540"/>
              </w:tabs>
              <w:spacing w:after="120" w:line="264" w:lineRule="auto"/>
              <w:jc w:val="center"/>
              <w:rPr>
                <w:rFonts w:ascii="Times New Roman" w:eastAsia="Arial" w:hAnsi="Times New Roman" w:cs="Times New Roman"/>
                <w:sz w:val="28"/>
                <w:szCs w:val="28"/>
              </w:rPr>
            </w:pPr>
            <w:r w:rsidRPr="004D2F23">
              <w:rPr>
                <w:rFonts w:ascii="Times New Roman" w:eastAsia="Arial" w:hAnsi="Times New Roman" w:cs="Times New Roman"/>
                <w:sz w:val="28"/>
                <w:szCs w:val="28"/>
              </w:rPr>
              <w:t>1</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399E9868" w14:textId="77777777" w:rsidR="000216BB" w:rsidRPr="004D2F23" w:rsidRDefault="000216BB" w:rsidP="002D39C7">
            <w:pPr>
              <w:tabs>
                <w:tab w:val="left" w:pos="540"/>
              </w:tabs>
              <w:spacing w:after="120" w:line="264" w:lineRule="auto"/>
              <w:jc w:val="both"/>
              <w:rPr>
                <w:rFonts w:ascii="Times New Roman" w:eastAsia="Arial" w:hAnsi="Times New Roman" w:cs="Times New Roman"/>
                <w:sz w:val="28"/>
                <w:szCs w:val="28"/>
              </w:rPr>
            </w:pPr>
            <w:r w:rsidRPr="004D2F23">
              <w:rPr>
                <w:rFonts w:ascii="Times New Roman" w:eastAsia="Arial" w:hAnsi="Times New Roman" w:cs="Times New Roman"/>
                <w:sz w:val="28"/>
                <w:szCs w:val="28"/>
              </w:rPr>
              <w:t>Tuyên bố của cơ quan giám sát tài chính, cơ quan có thẩm quyền hoặc cơ quan xử lý TCTD đổ vỡ/có khả năng đổ vỡ</w:t>
            </w:r>
          </w:p>
        </w:tc>
      </w:tr>
      <w:tr w:rsidR="004D2F23" w:rsidRPr="004D2F23" w14:paraId="5E3D3259" w14:textId="77777777" w:rsidTr="002D39C7">
        <w:tc>
          <w:tcPr>
            <w:tcW w:w="569" w:type="pct"/>
            <w:tcBorders>
              <w:top w:val="single" w:sz="4" w:space="0" w:color="auto"/>
              <w:left w:val="single" w:sz="4" w:space="0" w:color="auto"/>
              <w:bottom w:val="single" w:sz="4" w:space="0" w:color="auto"/>
              <w:right w:val="single" w:sz="4" w:space="0" w:color="auto"/>
            </w:tcBorders>
          </w:tcPr>
          <w:p w14:paraId="659F93BD" w14:textId="77777777" w:rsidR="000216BB" w:rsidRPr="004D2F23" w:rsidRDefault="000216BB" w:rsidP="002D39C7">
            <w:pPr>
              <w:tabs>
                <w:tab w:val="left" w:pos="540"/>
              </w:tabs>
              <w:spacing w:after="120" w:line="264" w:lineRule="auto"/>
              <w:jc w:val="center"/>
              <w:rPr>
                <w:rFonts w:ascii="Times New Roman" w:eastAsia="Arial" w:hAnsi="Times New Roman" w:cs="Times New Roman"/>
                <w:sz w:val="28"/>
                <w:szCs w:val="28"/>
              </w:rPr>
            </w:pPr>
            <w:r w:rsidRPr="004D2F23">
              <w:rPr>
                <w:rFonts w:ascii="Times New Roman" w:eastAsia="Arial" w:hAnsi="Times New Roman" w:cs="Times New Roman"/>
                <w:sz w:val="28"/>
                <w:szCs w:val="28"/>
              </w:rPr>
              <w:t>2</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35F39F90" w14:textId="77777777" w:rsidR="000216BB" w:rsidRPr="004D2F23" w:rsidRDefault="000216BB" w:rsidP="002D39C7">
            <w:pPr>
              <w:tabs>
                <w:tab w:val="left" w:pos="540"/>
              </w:tabs>
              <w:spacing w:after="120" w:line="264" w:lineRule="auto"/>
              <w:jc w:val="both"/>
              <w:rPr>
                <w:rFonts w:ascii="Times New Roman" w:eastAsia="Arial" w:hAnsi="Times New Roman" w:cs="Times New Roman"/>
                <w:sz w:val="28"/>
                <w:szCs w:val="28"/>
              </w:rPr>
            </w:pPr>
            <w:r w:rsidRPr="004D2F23">
              <w:rPr>
                <w:rFonts w:ascii="Times New Roman" w:eastAsia="Arial" w:hAnsi="Times New Roman" w:cs="Times New Roman"/>
                <w:sz w:val="28"/>
                <w:szCs w:val="28"/>
              </w:rPr>
              <w:t>Bắt đầu thủ tục xử lý</w:t>
            </w:r>
          </w:p>
        </w:tc>
      </w:tr>
      <w:tr w:rsidR="004D2F23" w:rsidRPr="004D2F23" w14:paraId="07AFACAF" w14:textId="77777777" w:rsidTr="002D39C7">
        <w:tc>
          <w:tcPr>
            <w:tcW w:w="569" w:type="pct"/>
            <w:tcBorders>
              <w:top w:val="single" w:sz="4" w:space="0" w:color="auto"/>
              <w:left w:val="single" w:sz="4" w:space="0" w:color="auto"/>
              <w:bottom w:val="single" w:sz="4" w:space="0" w:color="auto"/>
              <w:right w:val="single" w:sz="4" w:space="0" w:color="auto"/>
            </w:tcBorders>
          </w:tcPr>
          <w:p w14:paraId="6CC174C5" w14:textId="77777777" w:rsidR="000216BB" w:rsidRPr="004D2F23" w:rsidRDefault="000216BB" w:rsidP="002D39C7">
            <w:pPr>
              <w:tabs>
                <w:tab w:val="left" w:pos="540"/>
              </w:tabs>
              <w:spacing w:after="120" w:line="264" w:lineRule="auto"/>
              <w:jc w:val="center"/>
              <w:rPr>
                <w:rFonts w:ascii="Times New Roman" w:eastAsia="Arial" w:hAnsi="Times New Roman" w:cs="Times New Roman"/>
                <w:sz w:val="28"/>
                <w:szCs w:val="28"/>
              </w:rPr>
            </w:pPr>
            <w:r w:rsidRPr="004D2F23">
              <w:rPr>
                <w:rFonts w:ascii="Times New Roman" w:eastAsia="Arial" w:hAnsi="Times New Roman" w:cs="Times New Roman"/>
                <w:sz w:val="28"/>
                <w:szCs w:val="28"/>
              </w:rPr>
              <w:t>3</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54A98DBF" w14:textId="77777777" w:rsidR="000216BB" w:rsidRPr="004D2F23" w:rsidRDefault="000216BB" w:rsidP="002D39C7">
            <w:pPr>
              <w:tabs>
                <w:tab w:val="left" w:pos="540"/>
              </w:tabs>
              <w:spacing w:after="120" w:line="264" w:lineRule="auto"/>
              <w:jc w:val="both"/>
              <w:rPr>
                <w:rFonts w:ascii="Times New Roman" w:eastAsia="Arial" w:hAnsi="Times New Roman" w:cs="Times New Roman"/>
                <w:sz w:val="28"/>
                <w:szCs w:val="28"/>
              </w:rPr>
            </w:pPr>
            <w:r w:rsidRPr="004D2F23">
              <w:rPr>
                <w:rFonts w:ascii="Times New Roman" w:eastAsia="Arial" w:hAnsi="Times New Roman" w:cs="Times New Roman"/>
                <w:sz w:val="28"/>
                <w:szCs w:val="28"/>
              </w:rPr>
              <w:t>Xây dựng các chiến lược xử lý liên quan đến cơ cấu xử lý, v.v</w:t>
            </w:r>
          </w:p>
        </w:tc>
      </w:tr>
      <w:tr w:rsidR="004D2F23" w:rsidRPr="004D2F23" w14:paraId="6997D7CD" w14:textId="77777777" w:rsidTr="002D39C7">
        <w:tc>
          <w:tcPr>
            <w:tcW w:w="569" w:type="pct"/>
            <w:tcBorders>
              <w:top w:val="single" w:sz="4" w:space="0" w:color="auto"/>
              <w:left w:val="single" w:sz="4" w:space="0" w:color="auto"/>
              <w:bottom w:val="single" w:sz="4" w:space="0" w:color="auto"/>
              <w:right w:val="single" w:sz="4" w:space="0" w:color="auto"/>
            </w:tcBorders>
          </w:tcPr>
          <w:p w14:paraId="7980764F" w14:textId="77777777" w:rsidR="000216BB" w:rsidRPr="004D2F23" w:rsidRDefault="000216BB" w:rsidP="002D39C7">
            <w:pPr>
              <w:tabs>
                <w:tab w:val="left" w:pos="540"/>
              </w:tabs>
              <w:spacing w:after="120" w:line="264" w:lineRule="auto"/>
              <w:jc w:val="center"/>
              <w:rPr>
                <w:rFonts w:ascii="Times New Roman" w:eastAsia="Arial" w:hAnsi="Times New Roman" w:cs="Times New Roman"/>
                <w:sz w:val="28"/>
                <w:szCs w:val="28"/>
              </w:rPr>
            </w:pPr>
            <w:r w:rsidRPr="004D2F23">
              <w:rPr>
                <w:rFonts w:ascii="Times New Roman" w:eastAsia="Arial" w:hAnsi="Times New Roman" w:cs="Times New Roman"/>
                <w:sz w:val="28"/>
                <w:szCs w:val="28"/>
              </w:rPr>
              <w:t>4</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5047B281" w14:textId="77777777" w:rsidR="000216BB" w:rsidRPr="004D2F23" w:rsidRDefault="000216BB" w:rsidP="002D39C7">
            <w:pPr>
              <w:tabs>
                <w:tab w:val="left" w:pos="540"/>
              </w:tabs>
              <w:spacing w:after="120" w:line="264" w:lineRule="auto"/>
              <w:jc w:val="both"/>
              <w:rPr>
                <w:rFonts w:ascii="Times New Roman" w:eastAsia="Arial" w:hAnsi="Times New Roman" w:cs="Times New Roman"/>
                <w:sz w:val="28"/>
                <w:szCs w:val="28"/>
              </w:rPr>
            </w:pPr>
            <w:r w:rsidRPr="004D2F23">
              <w:rPr>
                <w:rFonts w:ascii="Times New Roman" w:eastAsia="Arial" w:hAnsi="Times New Roman" w:cs="Times New Roman"/>
                <w:sz w:val="28"/>
                <w:szCs w:val="28"/>
              </w:rPr>
              <w:t>Thẩm định tài sản để kiểm tra chi phí tối thiểu và thu thập thông tin</w:t>
            </w:r>
          </w:p>
        </w:tc>
      </w:tr>
      <w:tr w:rsidR="004D2F23" w:rsidRPr="004D2F23" w14:paraId="6C3954AE" w14:textId="77777777" w:rsidTr="002D39C7">
        <w:tc>
          <w:tcPr>
            <w:tcW w:w="569" w:type="pct"/>
            <w:tcBorders>
              <w:top w:val="single" w:sz="4" w:space="0" w:color="auto"/>
              <w:left w:val="single" w:sz="4" w:space="0" w:color="auto"/>
              <w:bottom w:val="single" w:sz="4" w:space="0" w:color="auto"/>
              <w:right w:val="single" w:sz="4" w:space="0" w:color="auto"/>
            </w:tcBorders>
          </w:tcPr>
          <w:p w14:paraId="013EC49E" w14:textId="77777777" w:rsidR="000216BB" w:rsidRPr="004D2F23" w:rsidRDefault="000216BB" w:rsidP="002D39C7">
            <w:pPr>
              <w:tabs>
                <w:tab w:val="left" w:pos="540"/>
              </w:tabs>
              <w:spacing w:after="120" w:line="264" w:lineRule="auto"/>
              <w:jc w:val="center"/>
              <w:rPr>
                <w:rFonts w:ascii="Times New Roman" w:eastAsia="Arial" w:hAnsi="Times New Roman" w:cs="Times New Roman"/>
                <w:sz w:val="28"/>
                <w:szCs w:val="28"/>
              </w:rPr>
            </w:pPr>
            <w:r w:rsidRPr="004D2F23">
              <w:rPr>
                <w:rFonts w:ascii="Times New Roman" w:eastAsia="Arial" w:hAnsi="Times New Roman" w:cs="Times New Roman"/>
                <w:sz w:val="28"/>
                <w:szCs w:val="28"/>
              </w:rPr>
              <w:t>5</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60099F83" w14:textId="77777777" w:rsidR="000216BB" w:rsidRPr="004D2F23" w:rsidRDefault="000216BB" w:rsidP="002D39C7">
            <w:pPr>
              <w:tabs>
                <w:tab w:val="left" w:pos="540"/>
              </w:tabs>
              <w:spacing w:after="120" w:line="264" w:lineRule="auto"/>
              <w:jc w:val="both"/>
              <w:rPr>
                <w:rFonts w:ascii="Times New Roman" w:eastAsia="Arial" w:hAnsi="Times New Roman" w:cs="Times New Roman"/>
                <w:sz w:val="28"/>
                <w:szCs w:val="28"/>
              </w:rPr>
            </w:pPr>
            <w:r w:rsidRPr="004D2F23">
              <w:rPr>
                <w:rFonts w:ascii="Times New Roman" w:eastAsia="Arial" w:hAnsi="Times New Roman" w:cs="Times New Roman"/>
                <w:sz w:val="28"/>
                <w:szCs w:val="28"/>
              </w:rPr>
              <w:t>Định giá tài sản</w:t>
            </w:r>
          </w:p>
        </w:tc>
      </w:tr>
      <w:tr w:rsidR="004D2F23" w:rsidRPr="004D2F23" w14:paraId="0459B952" w14:textId="77777777" w:rsidTr="002D39C7">
        <w:tc>
          <w:tcPr>
            <w:tcW w:w="569" w:type="pct"/>
            <w:tcBorders>
              <w:top w:val="single" w:sz="4" w:space="0" w:color="auto"/>
              <w:left w:val="single" w:sz="4" w:space="0" w:color="auto"/>
              <w:bottom w:val="single" w:sz="4" w:space="0" w:color="auto"/>
              <w:right w:val="single" w:sz="4" w:space="0" w:color="auto"/>
            </w:tcBorders>
          </w:tcPr>
          <w:p w14:paraId="6E7298AF" w14:textId="77777777" w:rsidR="000216BB" w:rsidRPr="004D2F23" w:rsidRDefault="000216BB" w:rsidP="002D39C7">
            <w:pPr>
              <w:tabs>
                <w:tab w:val="left" w:pos="540"/>
              </w:tabs>
              <w:spacing w:after="120" w:line="264" w:lineRule="auto"/>
              <w:jc w:val="center"/>
              <w:rPr>
                <w:rFonts w:ascii="Times New Roman" w:eastAsia="Arial" w:hAnsi="Times New Roman" w:cs="Times New Roman"/>
                <w:sz w:val="28"/>
                <w:szCs w:val="28"/>
              </w:rPr>
            </w:pPr>
            <w:r w:rsidRPr="004D2F23">
              <w:rPr>
                <w:rFonts w:ascii="Times New Roman" w:eastAsia="Arial" w:hAnsi="Times New Roman" w:cs="Times New Roman"/>
                <w:sz w:val="28"/>
                <w:szCs w:val="28"/>
              </w:rPr>
              <w:lastRenderedPageBreak/>
              <w:t>6</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3D586CFB" w14:textId="77777777" w:rsidR="000216BB" w:rsidRPr="004D2F23" w:rsidRDefault="000216BB" w:rsidP="002D39C7">
            <w:pPr>
              <w:tabs>
                <w:tab w:val="left" w:pos="540"/>
              </w:tabs>
              <w:spacing w:after="120" w:line="264" w:lineRule="auto"/>
              <w:jc w:val="both"/>
              <w:rPr>
                <w:rFonts w:ascii="Times New Roman" w:eastAsia="Arial" w:hAnsi="Times New Roman" w:cs="Times New Roman"/>
                <w:sz w:val="28"/>
                <w:szCs w:val="28"/>
              </w:rPr>
            </w:pPr>
            <w:r w:rsidRPr="004D2F23">
              <w:rPr>
                <w:rFonts w:ascii="Times New Roman" w:eastAsia="Arial" w:hAnsi="Times New Roman" w:cs="Times New Roman"/>
                <w:sz w:val="28"/>
                <w:szCs w:val="28"/>
              </w:rPr>
              <w:t>Thông báo đấu giá và tiếp thị cho các TCTD lành mạnh tiềm năng</w:t>
            </w:r>
          </w:p>
        </w:tc>
      </w:tr>
      <w:tr w:rsidR="004D2F23" w:rsidRPr="004D2F23" w14:paraId="6AC6BBC0" w14:textId="77777777" w:rsidTr="002D39C7">
        <w:tc>
          <w:tcPr>
            <w:tcW w:w="569" w:type="pct"/>
            <w:tcBorders>
              <w:top w:val="single" w:sz="4" w:space="0" w:color="auto"/>
              <w:left w:val="single" w:sz="4" w:space="0" w:color="auto"/>
              <w:bottom w:val="single" w:sz="4" w:space="0" w:color="auto"/>
              <w:right w:val="single" w:sz="4" w:space="0" w:color="auto"/>
            </w:tcBorders>
          </w:tcPr>
          <w:p w14:paraId="012733FE" w14:textId="77777777" w:rsidR="000216BB" w:rsidRPr="004D2F23" w:rsidRDefault="000216BB" w:rsidP="002D39C7">
            <w:pPr>
              <w:tabs>
                <w:tab w:val="left" w:pos="540"/>
              </w:tabs>
              <w:spacing w:after="120" w:line="264" w:lineRule="auto"/>
              <w:jc w:val="center"/>
              <w:rPr>
                <w:rFonts w:ascii="Times New Roman" w:eastAsia="Arial" w:hAnsi="Times New Roman" w:cs="Times New Roman"/>
                <w:sz w:val="28"/>
                <w:szCs w:val="28"/>
              </w:rPr>
            </w:pPr>
            <w:r w:rsidRPr="004D2F23">
              <w:rPr>
                <w:rFonts w:ascii="Times New Roman" w:eastAsia="Arial" w:hAnsi="Times New Roman" w:cs="Times New Roman"/>
                <w:sz w:val="28"/>
                <w:szCs w:val="28"/>
              </w:rPr>
              <w:t>7</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58024966" w14:textId="77777777" w:rsidR="000216BB" w:rsidRPr="004D2F23" w:rsidRDefault="000216BB" w:rsidP="002D39C7">
            <w:pPr>
              <w:tabs>
                <w:tab w:val="left" w:pos="540"/>
              </w:tabs>
              <w:spacing w:after="120" w:line="264" w:lineRule="auto"/>
              <w:jc w:val="both"/>
              <w:rPr>
                <w:rFonts w:ascii="Times New Roman" w:eastAsia="Arial" w:hAnsi="Times New Roman" w:cs="Times New Roman"/>
                <w:sz w:val="28"/>
                <w:szCs w:val="28"/>
              </w:rPr>
            </w:pPr>
            <w:r w:rsidRPr="004D2F23">
              <w:rPr>
                <w:rFonts w:ascii="Times New Roman" w:eastAsia="Arial" w:hAnsi="Times New Roman" w:cs="Times New Roman"/>
                <w:sz w:val="28"/>
                <w:szCs w:val="28"/>
              </w:rPr>
              <w:t>Các bên tham gia đấu giá thực hiện thẩm định</w:t>
            </w:r>
          </w:p>
        </w:tc>
      </w:tr>
      <w:tr w:rsidR="004D2F23" w:rsidRPr="004D2F23" w14:paraId="0F0CBA15" w14:textId="77777777" w:rsidTr="002D39C7">
        <w:tc>
          <w:tcPr>
            <w:tcW w:w="569" w:type="pct"/>
            <w:tcBorders>
              <w:top w:val="single" w:sz="4" w:space="0" w:color="auto"/>
              <w:left w:val="single" w:sz="4" w:space="0" w:color="auto"/>
              <w:bottom w:val="single" w:sz="4" w:space="0" w:color="auto"/>
              <w:right w:val="single" w:sz="4" w:space="0" w:color="auto"/>
            </w:tcBorders>
          </w:tcPr>
          <w:p w14:paraId="651D970E" w14:textId="77777777" w:rsidR="000216BB" w:rsidRPr="004D2F23" w:rsidRDefault="000216BB" w:rsidP="002D39C7">
            <w:pPr>
              <w:tabs>
                <w:tab w:val="left" w:pos="540"/>
              </w:tabs>
              <w:spacing w:after="120" w:line="264" w:lineRule="auto"/>
              <w:jc w:val="center"/>
              <w:rPr>
                <w:rFonts w:ascii="Times New Roman" w:eastAsia="Arial" w:hAnsi="Times New Roman" w:cs="Times New Roman"/>
                <w:sz w:val="28"/>
                <w:szCs w:val="28"/>
              </w:rPr>
            </w:pPr>
            <w:r w:rsidRPr="004D2F23">
              <w:rPr>
                <w:rFonts w:ascii="Times New Roman" w:eastAsia="Arial" w:hAnsi="Times New Roman" w:cs="Times New Roman"/>
                <w:sz w:val="28"/>
                <w:szCs w:val="28"/>
              </w:rPr>
              <w:t>8</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3B38D9EA" w14:textId="77777777" w:rsidR="000216BB" w:rsidRPr="004D2F23" w:rsidRDefault="000216BB" w:rsidP="002D39C7">
            <w:pPr>
              <w:tabs>
                <w:tab w:val="left" w:pos="540"/>
              </w:tabs>
              <w:spacing w:after="120" w:line="264" w:lineRule="auto"/>
              <w:jc w:val="both"/>
              <w:rPr>
                <w:rFonts w:ascii="Times New Roman" w:eastAsia="Arial" w:hAnsi="Times New Roman" w:cs="Times New Roman"/>
                <w:sz w:val="28"/>
                <w:szCs w:val="28"/>
              </w:rPr>
            </w:pPr>
            <w:r w:rsidRPr="004D2F23">
              <w:rPr>
                <w:rFonts w:ascii="Times New Roman" w:eastAsia="Arial" w:hAnsi="Times New Roman" w:cs="Times New Roman"/>
                <w:sz w:val="28"/>
                <w:szCs w:val="28"/>
              </w:rPr>
              <w:t>Đấu giá</w:t>
            </w:r>
          </w:p>
        </w:tc>
      </w:tr>
      <w:tr w:rsidR="004D2F23" w:rsidRPr="004D2F23" w14:paraId="65356339" w14:textId="77777777" w:rsidTr="002D39C7">
        <w:tc>
          <w:tcPr>
            <w:tcW w:w="569" w:type="pct"/>
            <w:tcBorders>
              <w:top w:val="single" w:sz="4" w:space="0" w:color="auto"/>
              <w:left w:val="single" w:sz="4" w:space="0" w:color="auto"/>
              <w:bottom w:val="single" w:sz="4" w:space="0" w:color="auto"/>
              <w:right w:val="single" w:sz="4" w:space="0" w:color="auto"/>
            </w:tcBorders>
          </w:tcPr>
          <w:p w14:paraId="764B6375" w14:textId="77777777" w:rsidR="000216BB" w:rsidRPr="004D2F23" w:rsidRDefault="000216BB" w:rsidP="002D39C7">
            <w:pPr>
              <w:tabs>
                <w:tab w:val="left" w:pos="540"/>
              </w:tabs>
              <w:spacing w:after="120" w:line="264" w:lineRule="auto"/>
              <w:jc w:val="center"/>
              <w:rPr>
                <w:rFonts w:ascii="Times New Roman" w:eastAsia="Arial" w:hAnsi="Times New Roman" w:cs="Times New Roman"/>
                <w:sz w:val="28"/>
                <w:szCs w:val="28"/>
              </w:rPr>
            </w:pPr>
            <w:r w:rsidRPr="004D2F23">
              <w:rPr>
                <w:rFonts w:ascii="Times New Roman" w:eastAsia="Arial" w:hAnsi="Times New Roman" w:cs="Times New Roman"/>
                <w:sz w:val="28"/>
                <w:szCs w:val="28"/>
              </w:rPr>
              <w:t>9</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453389AC" w14:textId="77777777" w:rsidR="000216BB" w:rsidRPr="004D2F23" w:rsidRDefault="000216BB" w:rsidP="002D39C7">
            <w:pPr>
              <w:tabs>
                <w:tab w:val="left" w:pos="540"/>
              </w:tabs>
              <w:spacing w:after="120" w:line="264" w:lineRule="auto"/>
              <w:jc w:val="both"/>
              <w:rPr>
                <w:rFonts w:ascii="Times New Roman" w:eastAsia="Arial" w:hAnsi="Times New Roman" w:cs="Times New Roman"/>
                <w:sz w:val="28"/>
                <w:szCs w:val="28"/>
              </w:rPr>
            </w:pPr>
            <w:r w:rsidRPr="004D2F23">
              <w:rPr>
                <w:rFonts w:ascii="Times New Roman" w:eastAsia="Arial" w:hAnsi="Times New Roman" w:cs="Times New Roman"/>
                <w:sz w:val="28"/>
                <w:szCs w:val="28"/>
              </w:rPr>
              <w:t>Kiểm tra chi phí tối thiểu và lựa chọn đơn vị trúng đấu giá</w:t>
            </w:r>
          </w:p>
        </w:tc>
      </w:tr>
      <w:tr w:rsidR="004D2F23" w:rsidRPr="004D2F23" w14:paraId="1271488C" w14:textId="77777777" w:rsidTr="002D39C7">
        <w:tc>
          <w:tcPr>
            <w:tcW w:w="569" w:type="pct"/>
            <w:tcBorders>
              <w:top w:val="single" w:sz="4" w:space="0" w:color="auto"/>
              <w:left w:val="single" w:sz="4" w:space="0" w:color="auto"/>
              <w:bottom w:val="single" w:sz="4" w:space="0" w:color="auto"/>
              <w:right w:val="single" w:sz="4" w:space="0" w:color="auto"/>
            </w:tcBorders>
          </w:tcPr>
          <w:p w14:paraId="4C2C7672" w14:textId="77777777" w:rsidR="000216BB" w:rsidRPr="004D2F23" w:rsidRDefault="000216BB" w:rsidP="002D39C7">
            <w:pPr>
              <w:tabs>
                <w:tab w:val="left" w:pos="540"/>
              </w:tabs>
              <w:spacing w:after="120" w:line="264" w:lineRule="auto"/>
              <w:jc w:val="center"/>
              <w:rPr>
                <w:rFonts w:ascii="Times New Roman" w:eastAsia="Arial" w:hAnsi="Times New Roman" w:cs="Times New Roman"/>
                <w:sz w:val="28"/>
                <w:szCs w:val="28"/>
              </w:rPr>
            </w:pPr>
            <w:r w:rsidRPr="004D2F23">
              <w:rPr>
                <w:rFonts w:ascii="Times New Roman" w:eastAsia="Arial" w:hAnsi="Times New Roman" w:cs="Times New Roman"/>
                <w:sz w:val="28"/>
                <w:szCs w:val="28"/>
              </w:rPr>
              <w:t>10</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60C8CD1A" w14:textId="77777777" w:rsidR="000216BB" w:rsidRPr="004D2F23" w:rsidRDefault="000216BB" w:rsidP="002D39C7">
            <w:pPr>
              <w:tabs>
                <w:tab w:val="left" w:pos="540"/>
              </w:tabs>
              <w:spacing w:after="120" w:line="264" w:lineRule="auto"/>
              <w:jc w:val="both"/>
              <w:rPr>
                <w:rFonts w:ascii="Times New Roman" w:eastAsia="Arial" w:hAnsi="Times New Roman" w:cs="Times New Roman"/>
                <w:sz w:val="28"/>
                <w:szCs w:val="28"/>
              </w:rPr>
            </w:pPr>
            <w:r w:rsidRPr="004D2F23">
              <w:rPr>
                <w:rFonts w:ascii="Times New Roman" w:eastAsia="Arial" w:hAnsi="Times New Roman" w:cs="Times New Roman"/>
                <w:sz w:val="28"/>
                <w:szCs w:val="28"/>
              </w:rPr>
              <w:t>Thông báo cho đơn vị trúng đấu giá</w:t>
            </w:r>
          </w:p>
        </w:tc>
      </w:tr>
      <w:tr w:rsidR="004D2F23" w:rsidRPr="004D2F23" w14:paraId="42375907" w14:textId="77777777" w:rsidTr="002D39C7">
        <w:tc>
          <w:tcPr>
            <w:tcW w:w="569" w:type="pct"/>
            <w:tcBorders>
              <w:top w:val="single" w:sz="4" w:space="0" w:color="auto"/>
              <w:left w:val="single" w:sz="4" w:space="0" w:color="auto"/>
              <w:bottom w:val="single" w:sz="4" w:space="0" w:color="auto"/>
              <w:right w:val="single" w:sz="4" w:space="0" w:color="auto"/>
            </w:tcBorders>
          </w:tcPr>
          <w:p w14:paraId="1EF8DE21" w14:textId="77777777" w:rsidR="000216BB" w:rsidRPr="004D2F23" w:rsidRDefault="000216BB" w:rsidP="002D39C7">
            <w:pPr>
              <w:tabs>
                <w:tab w:val="left" w:pos="540"/>
              </w:tabs>
              <w:spacing w:after="120" w:line="264" w:lineRule="auto"/>
              <w:jc w:val="center"/>
              <w:rPr>
                <w:rFonts w:ascii="Times New Roman" w:eastAsia="Arial" w:hAnsi="Times New Roman" w:cs="Times New Roman"/>
                <w:sz w:val="28"/>
                <w:szCs w:val="28"/>
              </w:rPr>
            </w:pPr>
            <w:r w:rsidRPr="004D2F23">
              <w:rPr>
                <w:rFonts w:ascii="Times New Roman" w:eastAsia="Arial" w:hAnsi="Times New Roman" w:cs="Times New Roman"/>
                <w:sz w:val="28"/>
                <w:szCs w:val="28"/>
              </w:rPr>
              <w:t>11</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4C6E6577" w14:textId="77777777" w:rsidR="000216BB" w:rsidRPr="004D2F23" w:rsidRDefault="000216BB" w:rsidP="002D39C7">
            <w:pPr>
              <w:tabs>
                <w:tab w:val="left" w:pos="540"/>
              </w:tabs>
              <w:spacing w:after="120" w:line="264" w:lineRule="auto"/>
              <w:jc w:val="both"/>
              <w:rPr>
                <w:rFonts w:ascii="Times New Roman" w:eastAsia="Arial" w:hAnsi="Times New Roman" w:cs="Times New Roman"/>
                <w:sz w:val="28"/>
                <w:szCs w:val="28"/>
              </w:rPr>
            </w:pPr>
            <w:r w:rsidRPr="004D2F23">
              <w:rPr>
                <w:rFonts w:ascii="Times New Roman" w:eastAsia="Arial" w:hAnsi="Times New Roman" w:cs="Times New Roman"/>
                <w:sz w:val="28"/>
                <w:szCs w:val="28"/>
              </w:rPr>
              <w:t>Ký kết hợp đồng</w:t>
            </w:r>
          </w:p>
        </w:tc>
      </w:tr>
      <w:tr w:rsidR="004D2F23" w:rsidRPr="004D2F23" w14:paraId="3520B8E5" w14:textId="77777777" w:rsidTr="002D39C7">
        <w:tc>
          <w:tcPr>
            <w:tcW w:w="569" w:type="pct"/>
            <w:tcBorders>
              <w:top w:val="single" w:sz="4" w:space="0" w:color="auto"/>
              <w:left w:val="single" w:sz="4" w:space="0" w:color="auto"/>
              <w:bottom w:val="single" w:sz="4" w:space="0" w:color="auto"/>
              <w:right w:val="single" w:sz="4" w:space="0" w:color="auto"/>
            </w:tcBorders>
          </w:tcPr>
          <w:p w14:paraId="605F305E" w14:textId="77777777" w:rsidR="000216BB" w:rsidRPr="004D2F23" w:rsidRDefault="000216BB" w:rsidP="002D39C7">
            <w:pPr>
              <w:tabs>
                <w:tab w:val="left" w:pos="540"/>
              </w:tabs>
              <w:spacing w:after="120" w:line="264" w:lineRule="auto"/>
              <w:jc w:val="center"/>
              <w:rPr>
                <w:rFonts w:ascii="Times New Roman" w:eastAsia="Arial" w:hAnsi="Times New Roman" w:cs="Times New Roman"/>
                <w:sz w:val="28"/>
                <w:szCs w:val="28"/>
              </w:rPr>
            </w:pPr>
            <w:r w:rsidRPr="004D2F23">
              <w:rPr>
                <w:rFonts w:ascii="Times New Roman" w:eastAsia="Arial" w:hAnsi="Times New Roman" w:cs="Times New Roman"/>
                <w:sz w:val="28"/>
                <w:szCs w:val="28"/>
              </w:rPr>
              <w:t>12</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3ECF6349" w14:textId="77777777" w:rsidR="000216BB" w:rsidRPr="004D2F23" w:rsidRDefault="000216BB" w:rsidP="002D39C7">
            <w:pPr>
              <w:tabs>
                <w:tab w:val="left" w:pos="540"/>
              </w:tabs>
              <w:spacing w:after="120" w:line="264" w:lineRule="auto"/>
              <w:jc w:val="both"/>
              <w:rPr>
                <w:rFonts w:ascii="Times New Roman" w:eastAsia="Arial" w:hAnsi="Times New Roman" w:cs="Times New Roman"/>
                <w:sz w:val="28"/>
                <w:szCs w:val="28"/>
              </w:rPr>
            </w:pPr>
            <w:r w:rsidRPr="004D2F23">
              <w:rPr>
                <w:rFonts w:ascii="Times New Roman" w:eastAsia="Arial" w:hAnsi="Times New Roman" w:cs="Times New Roman"/>
                <w:sz w:val="28"/>
                <w:szCs w:val="28"/>
              </w:rPr>
              <w:t>Ra quyết định P&amp;A</w:t>
            </w:r>
          </w:p>
        </w:tc>
      </w:tr>
      <w:tr w:rsidR="004D2F23" w:rsidRPr="004D2F23" w14:paraId="31057B7C" w14:textId="77777777" w:rsidTr="002D39C7">
        <w:tc>
          <w:tcPr>
            <w:tcW w:w="569" w:type="pct"/>
            <w:tcBorders>
              <w:top w:val="single" w:sz="4" w:space="0" w:color="auto"/>
              <w:left w:val="single" w:sz="4" w:space="0" w:color="auto"/>
              <w:bottom w:val="single" w:sz="4" w:space="0" w:color="auto"/>
              <w:right w:val="single" w:sz="4" w:space="0" w:color="auto"/>
            </w:tcBorders>
          </w:tcPr>
          <w:p w14:paraId="4361E6B5" w14:textId="77777777" w:rsidR="000216BB" w:rsidRPr="004D2F23" w:rsidRDefault="000216BB" w:rsidP="002D39C7">
            <w:pPr>
              <w:tabs>
                <w:tab w:val="left" w:pos="540"/>
              </w:tabs>
              <w:spacing w:after="120" w:line="264" w:lineRule="auto"/>
              <w:jc w:val="center"/>
              <w:rPr>
                <w:rFonts w:ascii="Times New Roman" w:eastAsia="Arial" w:hAnsi="Times New Roman" w:cs="Times New Roman"/>
                <w:sz w:val="28"/>
                <w:szCs w:val="28"/>
              </w:rPr>
            </w:pPr>
            <w:r w:rsidRPr="004D2F23">
              <w:rPr>
                <w:rFonts w:ascii="Times New Roman" w:eastAsia="Arial" w:hAnsi="Times New Roman" w:cs="Times New Roman"/>
                <w:sz w:val="28"/>
                <w:szCs w:val="28"/>
              </w:rPr>
              <w:t>13</w:t>
            </w:r>
          </w:p>
        </w:tc>
        <w:tc>
          <w:tcPr>
            <w:tcW w:w="4431" w:type="pct"/>
            <w:tcBorders>
              <w:top w:val="single" w:sz="4" w:space="0" w:color="auto"/>
              <w:left w:val="single" w:sz="4" w:space="0" w:color="auto"/>
              <w:bottom w:val="single" w:sz="4" w:space="0" w:color="auto"/>
              <w:right w:val="single" w:sz="4" w:space="0" w:color="auto"/>
            </w:tcBorders>
            <w:shd w:val="clear" w:color="auto" w:fill="auto"/>
            <w:hideMark/>
          </w:tcPr>
          <w:p w14:paraId="1DDC8C77" w14:textId="77777777" w:rsidR="000216BB" w:rsidRPr="004D2F23" w:rsidRDefault="000216BB" w:rsidP="002D39C7">
            <w:pPr>
              <w:tabs>
                <w:tab w:val="left" w:pos="540"/>
              </w:tabs>
              <w:spacing w:after="120" w:line="264" w:lineRule="auto"/>
              <w:jc w:val="both"/>
              <w:rPr>
                <w:rFonts w:ascii="Times New Roman" w:eastAsia="Arial" w:hAnsi="Times New Roman" w:cs="Times New Roman"/>
                <w:sz w:val="28"/>
                <w:szCs w:val="28"/>
              </w:rPr>
            </w:pPr>
            <w:r w:rsidRPr="004D2F23">
              <w:rPr>
                <w:rFonts w:ascii="Times New Roman" w:eastAsia="Arial" w:hAnsi="Times New Roman" w:cs="Times New Roman"/>
                <w:sz w:val="28"/>
                <w:szCs w:val="28"/>
              </w:rPr>
              <w:t>Đặt tổ chức vào tình trạng tiếp quản và thông báo tiến hành giao dịch P&amp;A</w:t>
            </w:r>
          </w:p>
        </w:tc>
      </w:tr>
    </w:tbl>
    <w:p w14:paraId="5CE601C1" w14:textId="77777777" w:rsidR="00432E90" w:rsidRPr="004D2F23" w:rsidRDefault="00432E90" w:rsidP="00432E90">
      <w:pPr>
        <w:tabs>
          <w:tab w:val="left" w:pos="540"/>
        </w:tabs>
        <w:spacing w:after="120" w:line="264" w:lineRule="auto"/>
        <w:ind w:firstLine="720"/>
        <w:jc w:val="both"/>
        <w:rPr>
          <w:rFonts w:ascii="Times New Roman" w:hAnsi="Times New Roman" w:cs="Times New Roman"/>
          <w:b/>
          <w:sz w:val="28"/>
          <w:szCs w:val="28"/>
        </w:rPr>
      </w:pPr>
      <w:r w:rsidRPr="004D2F23">
        <w:rPr>
          <w:rFonts w:ascii="Times New Roman" w:hAnsi="Times New Roman" w:cs="Times New Roman"/>
          <w:b/>
          <w:sz w:val="28"/>
          <w:szCs w:val="28"/>
        </w:rPr>
        <w:t>- Chia sẻ tổn thất:</w:t>
      </w:r>
    </w:p>
    <w:p w14:paraId="69C3D8C6" w14:textId="7EDE2C77" w:rsidR="000216BB" w:rsidRPr="004D2F23" w:rsidRDefault="000216BB" w:rsidP="00432E90">
      <w:pPr>
        <w:tabs>
          <w:tab w:val="left" w:pos="540"/>
        </w:tabs>
        <w:spacing w:after="120" w:line="264" w:lineRule="auto"/>
        <w:ind w:firstLine="720"/>
        <w:jc w:val="both"/>
        <w:rPr>
          <w:rFonts w:ascii="Times New Roman" w:hAnsi="Times New Roman" w:cs="Times New Roman"/>
          <w:sz w:val="28"/>
          <w:szCs w:val="28"/>
        </w:rPr>
      </w:pPr>
      <w:r w:rsidRPr="004D2F23">
        <w:rPr>
          <w:rFonts w:ascii="Times New Roman" w:hAnsi="Times New Roman" w:cs="Times New Roman"/>
          <w:sz w:val="28"/>
          <w:szCs w:val="28"/>
        </w:rPr>
        <w:t>Khi xử lý một tổ chức đổ vỡ thông qua giao dịch P&amp;A, FDIC có thể hỗ trợ cho bên mua lại thông qua thỏa thuận chia sẻ tổn thất. Đặc biệt, trong trường hợp một tổ chức lớn đổ vỡ, bên mua lại có thể yêu cầu có sự hỗ trợ tài chính như một động lực để thực hiện việc mua lại. Thường thì một tổ chức đổ vỡ có nhiều nợ hơn tài sản và cơ quan xử lý sẽ bù đắp phần thiếu hụt giữa giá trị tài sản và giá trị nợ, tùy thuộc vào giới hạn được huy động từ quỹ BHTG hoặc quỹ xử lý. Các khoản bù đắp này cùng với các khoản chi trả bằng tiền mặt cho các khoản tiền gửi được bảo hiểm được lấy từ nguồn quỹ BHTG, do đó có thể gây ảnh hưởng đến sự ổn định của quỹ BHTG. Đôi khi, số tiền cần thiết lớn đến mức không thể chỉ được tài trợ bằng quỹ BHTG, mà còn cần phải có một cơ chế tài trợ dự phòng bổ sung.</w:t>
      </w:r>
    </w:p>
    <w:p w14:paraId="196019A5" w14:textId="77777777" w:rsidR="000216BB" w:rsidRPr="004D2F23" w:rsidRDefault="000216BB" w:rsidP="000216BB">
      <w:pPr>
        <w:tabs>
          <w:tab w:val="left" w:pos="540"/>
        </w:tabs>
        <w:spacing w:after="120" w:line="264" w:lineRule="auto"/>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 Cụ thể, thỏa thuận chia sẻ tổn thất được thực hiện giữa FDIC và bên mua lại tại thời điểm đóng cửa ngân hàng (tổ chức đổ vỡ). Theo các điều khoản của thỏa thuận chia sẻ tổn thất, FDIC sẽ chịu một phần tổn thất trên các tài sản cụ thể được bán lên đến một mức nhất định. Bên mua lại sẽ chịu phần tổn thất còn lại. Ngược lại, FDIC có thể nhận được tiền lãi nếu tổ chức mua lại kiếm được tiền từ tài sản mua lại thuộc phạm </w:t>
      </w:r>
      <w:proofErr w:type="gramStart"/>
      <w:r w:rsidRPr="004D2F23">
        <w:rPr>
          <w:rFonts w:ascii="Times New Roman" w:hAnsi="Times New Roman" w:cs="Times New Roman"/>
          <w:sz w:val="28"/>
          <w:szCs w:val="28"/>
        </w:rPr>
        <w:t>vi</w:t>
      </w:r>
      <w:proofErr w:type="gramEnd"/>
      <w:r w:rsidRPr="004D2F23">
        <w:rPr>
          <w:rFonts w:ascii="Times New Roman" w:hAnsi="Times New Roman" w:cs="Times New Roman"/>
          <w:sz w:val="28"/>
          <w:szCs w:val="28"/>
        </w:rPr>
        <w:t xml:space="preserve"> thỏa thuận của thỏa thuận chia sẻ tổn thất.</w:t>
      </w:r>
    </w:p>
    <w:p w14:paraId="16C49022" w14:textId="77777777" w:rsidR="000216BB" w:rsidRPr="004D2F23" w:rsidRDefault="000216BB" w:rsidP="000216BB">
      <w:pPr>
        <w:tabs>
          <w:tab w:val="left" w:pos="540"/>
        </w:tabs>
        <w:spacing w:after="120" w:line="264" w:lineRule="auto"/>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Khi FDIC tính toán chi phí ước tính để xử lý đổ vỡ, tất cả các tổn thất dự kiến trên các tài sản được nêu trong thỏa thuận chia sẻ tổn thất đều được xem xét. Bất kỳ khoản thanh toán chia sẻ tổn thất nào trong tương lai đều được thực hiện từ nguồn vốn tiếp nhận từ ngân hàng đã đổ vỡ. Nếu nguồn vốn này không đủ, các khoản thanh toán chia sẻ tổn thất sẽ được lấy từ quỹ BHTG của FDIC. </w:t>
      </w:r>
    </w:p>
    <w:p w14:paraId="0DDA1CE1" w14:textId="77777777" w:rsidR="000216BB" w:rsidRPr="004D2F23" w:rsidRDefault="000216BB" w:rsidP="000216BB">
      <w:pPr>
        <w:tabs>
          <w:tab w:val="left" w:pos="540"/>
        </w:tabs>
        <w:spacing w:after="120" w:line="264" w:lineRule="auto"/>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Gần đây, FDIC cũng sử dụng biện pháp P&amp;A để xử lý ngân hàng </w:t>
      </w:r>
      <w:r w:rsidRPr="004D2F23">
        <w:rPr>
          <w:rFonts w:ascii="Times New Roman" w:eastAsia="Malgun Gothic" w:hAnsi="Times New Roman" w:cs="Times New Roman"/>
          <w:sz w:val="28"/>
          <w:szCs w:val="28"/>
          <w:lang w:eastAsia="ko-KR"/>
        </w:rPr>
        <w:t xml:space="preserve">Silicon Valley </w:t>
      </w:r>
      <w:r w:rsidRPr="004D2F23">
        <w:rPr>
          <w:rFonts w:ascii="Times New Roman" w:hAnsi="Times New Roman" w:cs="Times New Roman"/>
          <w:sz w:val="28"/>
          <w:szCs w:val="28"/>
        </w:rPr>
        <w:t>và ngân hàng</w:t>
      </w:r>
      <w:r w:rsidRPr="004D2F23">
        <w:rPr>
          <w:rFonts w:ascii="Times New Roman" w:eastAsia="Malgun Gothic" w:hAnsi="Times New Roman" w:cs="Times New Roman"/>
          <w:sz w:val="28"/>
          <w:szCs w:val="28"/>
          <w:lang w:eastAsia="ko-KR"/>
        </w:rPr>
        <w:t xml:space="preserve"> Signature vào năm 2023.</w:t>
      </w:r>
    </w:p>
    <w:p w14:paraId="0392A3E2" w14:textId="7F06AAA3" w:rsidR="000216BB" w:rsidRPr="004D2F23" w:rsidRDefault="00432E90" w:rsidP="000216BB">
      <w:pPr>
        <w:tabs>
          <w:tab w:val="left" w:pos="540"/>
        </w:tabs>
        <w:spacing w:after="120" w:line="264" w:lineRule="auto"/>
        <w:ind w:firstLine="720"/>
        <w:jc w:val="both"/>
        <w:rPr>
          <w:rFonts w:ascii="Times New Roman" w:hAnsi="Times New Roman" w:cs="Times New Roman"/>
          <w:b/>
          <w:bCs/>
          <w:sz w:val="28"/>
          <w:szCs w:val="28"/>
        </w:rPr>
      </w:pPr>
      <w:r w:rsidRPr="004D2F23">
        <w:rPr>
          <w:rFonts w:ascii="Times New Roman" w:hAnsi="Times New Roman" w:cs="Times New Roman"/>
          <w:b/>
          <w:bCs/>
          <w:sz w:val="28"/>
          <w:szCs w:val="28"/>
        </w:rPr>
        <w:t xml:space="preserve">- </w:t>
      </w:r>
      <w:r w:rsidR="000216BB" w:rsidRPr="004D2F23">
        <w:rPr>
          <w:rFonts w:ascii="Times New Roman" w:hAnsi="Times New Roman" w:cs="Times New Roman"/>
          <w:b/>
          <w:bCs/>
          <w:sz w:val="28"/>
          <w:szCs w:val="28"/>
        </w:rPr>
        <w:t>Bù đắp tổn thất quỹ BHTG</w:t>
      </w:r>
    </w:p>
    <w:p w14:paraId="2BA5B4CC" w14:textId="77777777" w:rsidR="000216BB" w:rsidRPr="004D2F23" w:rsidRDefault="000216BB" w:rsidP="000216BB">
      <w:pPr>
        <w:tabs>
          <w:tab w:val="left" w:pos="540"/>
        </w:tabs>
        <w:spacing w:after="120" w:line="264" w:lineRule="auto"/>
        <w:ind w:firstLine="720"/>
        <w:jc w:val="both"/>
        <w:rPr>
          <w:rFonts w:ascii="Times New Roman" w:hAnsi="Times New Roman" w:cs="Times New Roman"/>
          <w:b/>
          <w:bCs/>
          <w:sz w:val="28"/>
          <w:szCs w:val="28"/>
        </w:rPr>
      </w:pPr>
      <w:r w:rsidRPr="004D2F23">
        <w:rPr>
          <w:rFonts w:ascii="Times New Roman" w:hAnsi="Times New Roman" w:cs="Times New Roman"/>
          <w:sz w:val="28"/>
          <w:szCs w:val="28"/>
        </w:rPr>
        <w:lastRenderedPageBreak/>
        <w:t>Khi tổ chức BHTG tham gia vào quá trình xử lý ngân hàng đổ vỡ hoặc chi trả BHTG, có thể xảy ra trường hợp thâm hụt hoặc tổn thất quỹ BHTG. Khi đó, cần có các biện pháp bù đắp tổn thất và phục hồi quỹ BHTG nhằm đảm bảo năng lực tài chính của tổ chức BHTG và bảo vệ người gửi tiền.</w:t>
      </w:r>
    </w:p>
    <w:p w14:paraId="0F15C995" w14:textId="77777777" w:rsidR="000216BB" w:rsidRPr="004D2F23" w:rsidRDefault="000216BB" w:rsidP="000216BB">
      <w:pPr>
        <w:tabs>
          <w:tab w:val="left" w:pos="540"/>
        </w:tabs>
        <w:spacing w:after="120" w:line="264" w:lineRule="auto"/>
        <w:ind w:firstLine="720"/>
        <w:jc w:val="both"/>
        <w:rPr>
          <w:rFonts w:ascii="Times New Roman" w:hAnsi="Times New Roman" w:cs="Times New Roman"/>
          <w:b/>
          <w:bCs/>
          <w:sz w:val="28"/>
          <w:szCs w:val="28"/>
        </w:rPr>
      </w:pPr>
      <w:r w:rsidRPr="004D2F23">
        <w:rPr>
          <w:rFonts w:ascii="Times New Roman" w:hAnsi="Times New Roman" w:cs="Times New Roman"/>
          <w:sz w:val="28"/>
          <w:szCs w:val="28"/>
        </w:rPr>
        <w:t xml:space="preserve">Theo đó, trong trường hợp quỹ BHTG không đủ để xử lý tổ chức tín dụng yếu kém, </w:t>
      </w:r>
      <w:proofErr w:type="gramStart"/>
      <w:r w:rsidRPr="004D2F23">
        <w:rPr>
          <w:rFonts w:ascii="Times New Roman" w:hAnsi="Times New Roman" w:cs="Times New Roman"/>
          <w:sz w:val="28"/>
          <w:szCs w:val="28"/>
        </w:rPr>
        <w:t>theo</w:t>
      </w:r>
      <w:proofErr w:type="gramEnd"/>
      <w:r w:rsidRPr="004D2F23">
        <w:rPr>
          <w:rFonts w:ascii="Times New Roman" w:hAnsi="Times New Roman" w:cs="Times New Roman"/>
          <w:sz w:val="28"/>
          <w:szCs w:val="28"/>
        </w:rPr>
        <w:t xml:space="preserve"> Đạo luật Dodd-Frank, FDIC có thể thu phí đặc biệt.</w:t>
      </w:r>
    </w:p>
    <w:p w14:paraId="51E319F1" w14:textId="77777777" w:rsidR="000216BB" w:rsidRPr="004D2F23" w:rsidRDefault="000216BB" w:rsidP="000216BB">
      <w:pPr>
        <w:tabs>
          <w:tab w:val="left" w:pos="540"/>
        </w:tabs>
        <w:spacing w:after="120" w:line="264" w:lineRule="auto"/>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Trong cuộc khủng hoảng tài chính toàn cầu năm 2008, quỹ BHTG của FDIC đã bị thâm hụt vượt quá mức dự phòng. Trước khủng hoảng, quỹ này ở mức khoảng 52 tỷ USD, tương đương 1,22% tổng số tiền gửi được bảo hiểm. Trong khoảng thời gian từ tháng 1/2008 đến tháng 9/2009, 120 ngân hàng Hoa Kỳ đã bị phá sản. Tính đến cuối tháng 9/2009, quỹ BHTG đã âm khoảng 8 tỷ USD và FDIC buộc phải tăng phí BHTG vào thời điểm căng thẳng tài chính. FDIC đã áp dụng một số biện pháp để tăng cường quỹ BHTG </w:t>
      </w:r>
      <w:proofErr w:type="gramStart"/>
      <w:r w:rsidRPr="004D2F23">
        <w:rPr>
          <w:rFonts w:ascii="Times New Roman" w:hAnsi="Times New Roman" w:cs="Times New Roman"/>
          <w:sz w:val="28"/>
          <w:szCs w:val="28"/>
        </w:rPr>
        <w:t>theo</w:t>
      </w:r>
      <w:proofErr w:type="gramEnd"/>
      <w:r w:rsidRPr="004D2F23">
        <w:rPr>
          <w:rFonts w:ascii="Times New Roman" w:hAnsi="Times New Roman" w:cs="Times New Roman"/>
          <w:sz w:val="28"/>
          <w:szCs w:val="28"/>
        </w:rPr>
        <w:t xml:space="preserve"> Kế hoạch phục hồi năm 2009, bao gồm áp dụng phí BHTG giữa kỳ và yêu cầu các ngân hàng nộp trước một khoản bằng ước tính 3 năm phí BHTG</w:t>
      </w:r>
      <w:r w:rsidRPr="004D2F23">
        <w:rPr>
          <w:rStyle w:val="FootnoteReference"/>
          <w:rFonts w:ascii="Times New Roman" w:hAnsi="Times New Roman" w:cs="Times New Roman"/>
          <w:sz w:val="28"/>
          <w:szCs w:val="28"/>
        </w:rPr>
        <w:footnoteReference w:id="13"/>
      </w:r>
      <w:r w:rsidRPr="004D2F23">
        <w:rPr>
          <w:rFonts w:ascii="Times New Roman" w:hAnsi="Times New Roman" w:cs="Times New Roman"/>
          <w:sz w:val="28"/>
          <w:szCs w:val="28"/>
        </w:rPr>
        <w:t>.</w:t>
      </w:r>
    </w:p>
    <w:p w14:paraId="14CCDA58" w14:textId="5711918E" w:rsidR="000216BB" w:rsidRPr="004D2F23" w:rsidRDefault="000216BB" w:rsidP="00432E90">
      <w:pPr>
        <w:tabs>
          <w:tab w:val="left" w:pos="540"/>
        </w:tabs>
        <w:spacing w:after="120" w:line="264" w:lineRule="auto"/>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Gần đây, FDIC đã phê duyệt kế hoạch thu phí đặc biệt nhằm bù đắp phần tổn thất của quỹ BHTG đã sử dụng để xử lý hai ngân hàng là </w:t>
      </w:r>
      <w:r w:rsidRPr="004D2F23">
        <w:rPr>
          <w:rFonts w:ascii="Times New Roman" w:eastAsia="Malgun Gothic" w:hAnsi="Times New Roman" w:cs="Times New Roman"/>
          <w:sz w:val="28"/>
          <w:szCs w:val="28"/>
          <w:lang w:eastAsia="ko-KR"/>
        </w:rPr>
        <w:t xml:space="preserve">Silicon Valley </w:t>
      </w:r>
      <w:r w:rsidRPr="004D2F23">
        <w:rPr>
          <w:rFonts w:ascii="Times New Roman" w:hAnsi="Times New Roman" w:cs="Times New Roman"/>
          <w:sz w:val="28"/>
          <w:szCs w:val="28"/>
        </w:rPr>
        <w:t xml:space="preserve">và </w:t>
      </w:r>
      <w:r w:rsidRPr="004D2F23">
        <w:rPr>
          <w:rFonts w:ascii="Times New Roman" w:eastAsia="Malgun Gothic" w:hAnsi="Times New Roman" w:cs="Times New Roman"/>
          <w:sz w:val="28"/>
          <w:szCs w:val="28"/>
          <w:lang w:eastAsia="ko-KR"/>
        </w:rPr>
        <w:t xml:space="preserve">Signature </w:t>
      </w:r>
      <w:r w:rsidRPr="004D2F23">
        <w:rPr>
          <w:rFonts w:ascii="Times New Roman" w:hAnsi="Times New Roman" w:cs="Times New Roman"/>
          <w:sz w:val="28"/>
          <w:szCs w:val="28"/>
        </w:rPr>
        <w:t xml:space="preserve">bị đóng cửa vào năm 2023. Kế hoạch này được thực hiện dựa trên quy định của Đạo luật BHTG liên bang và tuyên bố </w:t>
      </w:r>
      <w:proofErr w:type="gramStart"/>
      <w:r w:rsidRPr="004D2F23">
        <w:rPr>
          <w:rFonts w:ascii="Times New Roman" w:hAnsi="Times New Roman" w:cs="Times New Roman"/>
          <w:sz w:val="28"/>
          <w:szCs w:val="28"/>
        </w:rPr>
        <w:t>chung</w:t>
      </w:r>
      <w:proofErr w:type="gramEnd"/>
      <w:r w:rsidRPr="004D2F23">
        <w:rPr>
          <w:rFonts w:ascii="Times New Roman" w:hAnsi="Times New Roman" w:cs="Times New Roman"/>
          <w:sz w:val="28"/>
          <w:szCs w:val="28"/>
        </w:rPr>
        <w:t xml:space="preserve"> về xác định rủi ro hệ thống do Bộ trưởng Bộ Tài chính Hoa Kỳ, Chủ tịch FED và Chủ tịch FDIC công bố vào ngày 12/3/2023. Theo kế hoạch, các ngân hàng được hưởng lợi nhiều nhất từ việc xác định rủi ro hệ thống sẽ phải nộp phí đặc biệt do các ngân hàng này có nhiều nguy cơ xảy ra hiện tượng rút tiền hàng loạt khi xuất hiện thông tin ngân hàng gặp vấn đề. Tính đến 31/3/2024, FDIC ước tính có 147 tổ chức nhận tiền gửi được bảo hiểm có tổng tài sản từ 5 đến 50 tỷ USD phải nộp phí đặc biệt. Trong khi đó, các ngân hàng có tổng tài sản dưới 5 tỷ USD không phải nộp khoản phí này. </w:t>
      </w:r>
    </w:p>
    <w:p w14:paraId="37A8B875" w14:textId="41825A4A" w:rsidR="00C23BCD" w:rsidRPr="004D2F23" w:rsidRDefault="00191A4F" w:rsidP="00A26ADD">
      <w:pPr>
        <w:spacing w:line="276" w:lineRule="auto"/>
        <w:ind w:firstLine="720"/>
        <w:jc w:val="both"/>
        <w:rPr>
          <w:rFonts w:ascii="Times New Roman" w:hAnsi="Times New Roman" w:cs="Times New Roman"/>
          <w:b/>
          <w:sz w:val="28"/>
          <w:szCs w:val="28"/>
        </w:rPr>
      </w:pPr>
      <w:r w:rsidRPr="004D2F23">
        <w:rPr>
          <w:rFonts w:ascii="Times New Roman" w:hAnsi="Times New Roman" w:cs="Times New Roman"/>
          <w:b/>
          <w:sz w:val="28"/>
          <w:szCs w:val="28"/>
        </w:rPr>
        <w:t xml:space="preserve">V. </w:t>
      </w:r>
      <w:r w:rsidR="00C23BCD" w:rsidRPr="004D2F23">
        <w:rPr>
          <w:rFonts w:ascii="Times New Roman" w:hAnsi="Times New Roman" w:cs="Times New Roman"/>
          <w:b/>
          <w:sz w:val="28"/>
          <w:szCs w:val="28"/>
        </w:rPr>
        <w:t xml:space="preserve">Biện pháp bảo đảm </w:t>
      </w:r>
      <w:proofErr w:type="gramStart"/>
      <w:r w:rsidR="00C23BCD" w:rsidRPr="004D2F23">
        <w:rPr>
          <w:rFonts w:ascii="Times New Roman" w:hAnsi="Times New Roman" w:cs="Times New Roman"/>
          <w:b/>
          <w:sz w:val="28"/>
          <w:szCs w:val="28"/>
        </w:rPr>
        <w:t>an</w:t>
      </w:r>
      <w:proofErr w:type="gramEnd"/>
      <w:r w:rsidR="00C23BCD" w:rsidRPr="004D2F23">
        <w:rPr>
          <w:rFonts w:ascii="Times New Roman" w:hAnsi="Times New Roman" w:cs="Times New Roman"/>
          <w:b/>
          <w:sz w:val="28"/>
          <w:szCs w:val="28"/>
        </w:rPr>
        <w:t xml:space="preserve"> toàn</w:t>
      </w:r>
    </w:p>
    <w:p w14:paraId="5EB93C37" w14:textId="77777777" w:rsidR="004B0185" w:rsidRPr="004D2F23" w:rsidRDefault="004B0185" w:rsidP="00A26ADD">
      <w:pPr>
        <w:spacing w:line="276" w:lineRule="auto"/>
        <w:ind w:firstLine="720"/>
        <w:jc w:val="both"/>
        <w:rPr>
          <w:rFonts w:ascii="Times New Roman" w:hAnsi="Times New Roman" w:cs="Times New Roman"/>
          <w:b/>
          <w:sz w:val="28"/>
          <w:szCs w:val="28"/>
        </w:rPr>
      </w:pPr>
      <w:r w:rsidRPr="004D2F23">
        <w:rPr>
          <w:rFonts w:ascii="Times New Roman" w:hAnsi="Times New Roman" w:cs="Times New Roman"/>
          <w:bCs/>
          <w:sz w:val="28"/>
          <w:szCs w:val="28"/>
        </w:rPr>
        <w:t xml:space="preserve">Do mục tiêu chính của BHTG là bảo hiểm các khoản tiền gửi được bảo hiểm (cho dù là trong trường hợp thực hiện chi trả hay tham gia tái cơ cấu TCTD) và nhìn chung, nguồn lực của BHTG thường không đủ để đáp ứng việc tài trợ nhằm giải quyết các hoàn cảnh mang tính nguy cơ hệ thống, BHTG được lập ra không phải để giải quyết tình huống phá sản của ngân hàng có tính quang trọng </w:t>
      </w:r>
      <w:r w:rsidR="00E2312F" w:rsidRPr="004D2F23">
        <w:rPr>
          <w:rFonts w:ascii="Times New Roman" w:hAnsi="Times New Roman" w:cs="Times New Roman"/>
          <w:bCs/>
          <w:sz w:val="28"/>
          <w:szCs w:val="28"/>
        </w:rPr>
        <w:t>đ</w:t>
      </w:r>
      <w:r w:rsidRPr="004D2F23">
        <w:rPr>
          <w:rFonts w:ascii="Times New Roman" w:hAnsi="Times New Roman" w:cs="Times New Roman"/>
          <w:bCs/>
          <w:sz w:val="28"/>
          <w:szCs w:val="28"/>
        </w:rPr>
        <w:t xml:space="preserve">ối với hệ thống hoặc để giải quyết một cuộc khủng hoảng ngân hàng nói chung. Những trường hợp này thường đòi hỏi nguồn lực lớn hơn đáng kể so với nguồn lực có sẵn trong BHTG. Do đó, để bảo vệ quỹ BHTG khỏi những nguy cơ, các biện pháp bảo đảm </w:t>
      </w:r>
      <w:proofErr w:type="gramStart"/>
      <w:r w:rsidRPr="004D2F23">
        <w:rPr>
          <w:rFonts w:ascii="Times New Roman" w:hAnsi="Times New Roman" w:cs="Times New Roman"/>
          <w:bCs/>
          <w:sz w:val="28"/>
          <w:szCs w:val="28"/>
        </w:rPr>
        <w:t>an</w:t>
      </w:r>
      <w:proofErr w:type="gramEnd"/>
      <w:r w:rsidRPr="004D2F23">
        <w:rPr>
          <w:rFonts w:ascii="Times New Roman" w:hAnsi="Times New Roman" w:cs="Times New Roman"/>
          <w:bCs/>
          <w:sz w:val="28"/>
          <w:szCs w:val="28"/>
        </w:rPr>
        <w:t xml:space="preserve"> toàn được áp dụng, </w:t>
      </w:r>
      <w:r w:rsidRPr="004D2F23">
        <w:rPr>
          <w:rFonts w:ascii="Times New Roman" w:hAnsi="Times New Roman" w:cs="Times New Roman"/>
          <w:bCs/>
          <w:sz w:val="28"/>
          <w:szCs w:val="28"/>
        </w:rPr>
        <w:lastRenderedPageBreak/>
        <w:t>bao gồm bài kiểm tra chi phí ròng thấp nhất và một hạn mức tín dụng dự phòng từ chính phủ.</w:t>
      </w:r>
      <w:r w:rsidR="00E2312F" w:rsidRPr="004D2F23">
        <w:rPr>
          <w:rFonts w:ascii="Times New Roman" w:hAnsi="Times New Roman" w:cs="Times New Roman"/>
          <w:bCs/>
          <w:sz w:val="28"/>
          <w:szCs w:val="28"/>
        </w:rPr>
        <w:t xml:space="preserve"> Việc áp dụng mức trần tài chính (financial cap) cũng là một biện pháp, ví dụ, không sử dụng quá 50% t</w:t>
      </w:r>
      <w:r w:rsidRPr="004D2F23">
        <w:rPr>
          <w:rFonts w:ascii="Times New Roman" w:hAnsi="Times New Roman" w:cs="Times New Roman"/>
          <w:bCs/>
          <w:sz w:val="28"/>
          <w:szCs w:val="28"/>
        </w:rPr>
        <w:t>ỷ lệ mục tiêu</w:t>
      </w:r>
      <w:r w:rsidR="00E2312F" w:rsidRPr="004D2F23">
        <w:rPr>
          <w:rFonts w:ascii="Times New Roman" w:hAnsi="Times New Roman" w:cs="Times New Roman"/>
          <w:bCs/>
          <w:sz w:val="28"/>
          <w:szCs w:val="28"/>
        </w:rPr>
        <w:t xml:space="preserve"> (target ratio) để giải quyết TCTD yếu kém</w:t>
      </w:r>
      <w:r w:rsidRPr="004D2F23">
        <w:rPr>
          <w:rFonts w:ascii="Times New Roman" w:hAnsi="Times New Roman" w:cs="Times New Roman"/>
          <w:bCs/>
          <w:sz w:val="28"/>
          <w:szCs w:val="28"/>
        </w:rPr>
        <w:t xml:space="preserve">. Các biện pháp bảo vệ này đảm bảo rằng sự phụ thuộc vào </w:t>
      </w:r>
      <w:r w:rsidR="00E2312F" w:rsidRPr="004D2F23">
        <w:rPr>
          <w:rFonts w:ascii="Times New Roman" w:hAnsi="Times New Roman" w:cs="Times New Roman"/>
          <w:bCs/>
          <w:sz w:val="28"/>
          <w:szCs w:val="28"/>
        </w:rPr>
        <w:t xml:space="preserve">quỹ BHTG là </w:t>
      </w:r>
      <w:r w:rsidRPr="004D2F23">
        <w:rPr>
          <w:rFonts w:ascii="Times New Roman" w:hAnsi="Times New Roman" w:cs="Times New Roman"/>
          <w:bCs/>
          <w:sz w:val="28"/>
          <w:szCs w:val="28"/>
        </w:rPr>
        <w:t xml:space="preserve">không quá mức, </w:t>
      </w:r>
      <w:r w:rsidR="00E2312F" w:rsidRPr="004D2F23">
        <w:rPr>
          <w:rFonts w:ascii="Times New Roman" w:hAnsi="Times New Roman" w:cs="Times New Roman"/>
          <w:bCs/>
          <w:sz w:val="28"/>
          <w:szCs w:val="28"/>
        </w:rPr>
        <w:t>dẫn đến</w:t>
      </w:r>
      <w:r w:rsidRPr="004D2F23">
        <w:rPr>
          <w:rFonts w:ascii="Times New Roman" w:hAnsi="Times New Roman" w:cs="Times New Roman"/>
          <w:bCs/>
          <w:sz w:val="28"/>
          <w:szCs w:val="28"/>
        </w:rPr>
        <w:t xml:space="preserve"> xói mòn niềm tin của người gửi tiền vào </w:t>
      </w:r>
      <w:r w:rsidR="00E2312F" w:rsidRPr="004D2F23">
        <w:rPr>
          <w:rFonts w:ascii="Times New Roman" w:hAnsi="Times New Roman" w:cs="Times New Roman"/>
          <w:bCs/>
          <w:sz w:val="28"/>
          <w:szCs w:val="28"/>
        </w:rPr>
        <w:t>BHTG.</w:t>
      </w:r>
    </w:p>
    <w:p w14:paraId="0347F069" w14:textId="77777777" w:rsidR="00EB278A" w:rsidRPr="004D2F23" w:rsidRDefault="00EB278A" w:rsidP="00A26ADD">
      <w:pPr>
        <w:spacing w:line="276" w:lineRule="auto"/>
        <w:ind w:firstLine="720"/>
        <w:jc w:val="both"/>
        <w:rPr>
          <w:rFonts w:ascii="Times New Roman" w:hAnsi="Times New Roman" w:cs="Times New Roman"/>
          <w:b/>
          <w:sz w:val="28"/>
          <w:szCs w:val="28"/>
        </w:rPr>
      </w:pPr>
      <w:r w:rsidRPr="004D2F23">
        <w:rPr>
          <w:rFonts w:ascii="Times New Roman" w:hAnsi="Times New Roman" w:cs="Times New Roman"/>
          <w:b/>
          <w:sz w:val="28"/>
          <w:szCs w:val="28"/>
        </w:rPr>
        <w:t xml:space="preserve">- </w:t>
      </w:r>
      <w:r w:rsidR="00E2312F" w:rsidRPr="004D2F23">
        <w:rPr>
          <w:rFonts w:ascii="Times New Roman" w:hAnsi="Times New Roman" w:cs="Times New Roman"/>
          <w:b/>
          <w:sz w:val="28"/>
          <w:szCs w:val="28"/>
        </w:rPr>
        <w:t>Mức trần</w:t>
      </w:r>
      <w:r w:rsidRPr="004D2F23">
        <w:rPr>
          <w:rFonts w:ascii="Times New Roman" w:hAnsi="Times New Roman" w:cs="Times New Roman"/>
          <w:b/>
          <w:sz w:val="28"/>
          <w:szCs w:val="28"/>
        </w:rPr>
        <w:t xml:space="preserve"> tài chính:</w:t>
      </w:r>
    </w:p>
    <w:p w14:paraId="79DEAB3B" w14:textId="72936196" w:rsidR="00EB278A" w:rsidRPr="004D2F23" w:rsidRDefault="00C23BCD" w:rsidP="00A26ADD">
      <w:pPr>
        <w:spacing w:line="276" w:lineRule="auto"/>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Để bảo vệ nguồn lực BHTG khỏi tình trạng cạn kiệt quá mức, hầu hết các </w:t>
      </w:r>
      <w:r w:rsidR="00EB278A" w:rsidRPr="004D2F23">
        <w:rPr>
          <w:rFonts w:ascii="Times New Roman" w:hAnsi="Times New Roman" w:cs="Times New Roman"/>
          <w:sz w:val="28"/>
          <w:szCs w:val="28"/>
        </w:rPr>
        <w:t>quốc gia</w:t>
      </w:r>
      <w:r w:rsidRPr="004D2F23">
        <w:rPr>
          <w:rFonts w:ascii="Times New Roman" w:hAnsi="Times New Roman" w:cs="Times New Roman"/>
          <w:sz w:val="28"/>
          <w:szCs w:val="28"/>
        </w:rPr>
        <w:t xml:space="preserve"> đều áp dụng một số hình thức giới hạn đối với số tiền có thể được sử dụng cho các mục đích khác ngoài mục đích chi trả. Điều này phù hợp với Nguyên tắc cốt lõi 9 của IADI, trong đó nêu rõ rằng khi khuôn khổ pháp lý cho phép </w:t>
      </w:r>
      <w:r w:rsidR="00EB278A" w:rsidRPr="004D2F23">
        <w:rPr>
          <w:rFonts w:ascii="Times New Roman" w:hAnsi="Times New Roman" w:cs="Times New Roman"/>
          <w:sz w:val="28"/>
          <w:szCs w:val="28"/>
        </w:rPr>
        <w:t>BHTG</w:t>
      </w:r>
      <w:r w:rsidRPr="004D2F23">
        <w:rPr>
          <w:rFonts w:ascii="Times New Roman" w:hAnsi="Times New Roman" w:cs="Times New Roman"/>
          <w:sz w:val="28"/>
          <w:szCs w:val="28"/>
        </w:rPr>
        <w:t xml:space="preserve"> sử dụng tiền của mình cho các mục đích khác ngoài mục đích </w:t>
      </w:r>
      <w:r w:rsidR="00EB278A" w:rsidRPr="004D2F23">
        <w:rPr>
          <w:rFonts w:ascii="Times New Roman" w:hAnsi="Times New Roman" w:cs="Times New Roman"/>
          <w:sz w:val="28"/>
          <w:szCs w:val="28"/>
        </w:rPr>
        <w:t>chi trả</w:t>
      </w:r>
      <w:r w:rsidRPr="004D2F23">
        <w:rPr>
          <w:rFonts w:ascii="Times New Roman" w:hAnsi="Times New Roman" w:cs="Times New Roman"/>
          <w:sz w:val="28"/>
          <w:szCs w:val="28"/>
        </w:rPr>
        <w:t xml:space="preserve"> thì chi phí của các biện pháp đó đối với </w:t>
      </w:r>
      <w:r w:rsidR="00EB278A" w:rsidRPr="004D2F23">
        <w:rPr>
          <w:rFonts w:ascii="Times New Roman" w:hAnsi="Times New Roman" w:cs="Times New Roman"/>
          <w:sz w:val="28"/>
          <w:szCs w:val="28"/>
        </w:rPr>
        <w:t>BHTG</w:t>
      </w:r>
      <w:r w:rsidRPr="004D2F23">
        <w:rPr>
          <w:rFonts w:ascii="Times New Roman" w:hAnsi="Times New Roman" w:cs="Times New Roman"/>
          <w:sz w:val="28"/>
          <w:szCs w:val="28"/>
        </w:rPr>
        <w:t xml:space="preserve"> không cao hơn chi phí </w:t>
      </w:r>
      <w:r w:rsidR="00A137E0" w:rsidRPr="004D2F23">
        <w:rPr>
          <w:rFonts w:ascii="Times New Roman" w:hAnsi="Times New Roman" w:cs="Times New Roman"/>
          <w:sz w:val="28"/>
          <w:szCs w:val="28"/>
        </w:rPr>
        <w:t xml:space="preserve">đáng ra phải </w:t>
      </w:r>
      <w:r w:rsidRPr="004D2F23">
        <w:rPr>
          <w:rFonts w:ascii="Times New Roman" w:hAnsi="Times New Roman" w:cs="Times New Roman"/>
          <w:sz w:val="28"/>
          <w:szCs w:val="28"/>
        </w:rPr>
        <w:t xml:space="preserve">chi trả cho người gửi tiền </w:t>
      </w:r>
      <w:r w:rsidR="00A137E0" w:rsidRPr="004D2F23">
        <w:rPr>
          <w:rFonts w:ascii="Times New Roman" w:hAnsi="Times New Roman" w:cs="Times New Roman"/>
          <w:sz w:val="28"/>
          <w:szCs w:val="28"/>
        </w:rPr>
        <w:t>nếu lựa chọn phương án</w:t>
      </w:r>
      <w:r w:rsidRPr="004D2F23">
        <w:rPr>
          <w:rFonts w:ascii="Times New Roman" w:hAnsi="Times New Roman" w:cs="Times New Roman"/>
          <w:sz w:val="28"/>
          <w:szCs w:val="28"/>
        </w:rPr>
        <w:t xml:space="preserve"> </w:t>
      </w:r>
      <w:r w:rsidR="00EB278A" w:rsidRPr="004D2F23">
        <w:rPr>
          <w:rFonts w:ascii="Times New Roman" w:hAnsi="Times New Roman" w:cs="Times New Roman"/>
          <w:sz w:val="28"/>
          <w:szCs w:val="28"/>
        </w:rPr>
        <w:t>chi trả</w:t>
      </w:r>
      <w:r w:rsidR="00A137E0" w:rsidRPr="004D2F23">
        <w:rPr>
          <w:rFonts w:ascii="Times New Roman" w:hAnsi="Times New Roman" w:cs="Times New Roman"/>
          <w:sz w:val="28"/>
          <w:szCs w:val="28"/>
        </w:rPr>
        <w:t xml:space="preserve"> tiền BHTG</w:t>
      </w:r>
      <w:r w:rsidRPr="004D2F23">
        <w:rPr>
          <w:rFonts w:ascii="Times New Roman" w:hAnsi="Times New Roman" w:cs="Times New Roman"/>
          <w:sz w:val="28"/>
          <w:szCs w:val="28"/>
        </w:rPr>
        <w:t xml:space="preserve">, sau khi trừ đi các khoản thu hồi dự kiến. </w:t>
      </w:r>
    </w:p>
    <w:p w14:paraId="6E5BF463" w14:textId="0E0048A4" w:rsidR="00C23BCD" w:rsidRPr="004D2F23" w:rsidRDefault="00C23BCD" w:rsidP="00A26ADD">
      <w:pPr>
        <w:spacing w:line="276" w:lineRule="auto"/>
        <w:ind w:firstLine="720"/>
        <w:jc w:val="both"/>
        <w:rPr>
          <w:rFonts w:ascii="Times New Roman" w:hAnsi="Times New Roman" w:cs="Times New Roman"/>
          <w:sz w:val="28"/>
          <w:szCs w:val="28"/>
        </w:rPr>
      </w:pPr>
      <w:r w:rsidRPr="004D2F23">
        <w:rPr>
          <w:rFonts w:ascii="Times New Roman" w:hAnsi="Times New Roman" w:cs="Times New Roman"/>
          <w:sz w:val="28"/>
          <w:szCs w:val="28"/>
        </w:rPr>
        <w:t>Ở một số khu vực pháp lý, biện pháp</w:t>
      </w:r>
      <w:r w:rsidR="00EB278A" w:rsidRPr="004D2F23">
        <w:rPr>
          <w:rFonts w:ascii="Times New Roman" w:hAnsi="Times New Roman" w:cs="Times New Roman"/>
          <w:sz w:val="28"/>
          <w:szCs w:val="28"/>
        </w:rPr>
        <w:t xml:space="preserve"> bảo đảm an toàn</w:t>
      </w:r>
      <w:r w:rsidRPr="004D2F23">
        <w:rPr>
          <w:rFonts w:ascii="Times New Roman" w:hAnsi="Times New Roman" w:cs="Times New Roman"/>
          <w:sz w:val="28"/>
          <w:szCs w:val="28"/>
        </w:rPr>
        <w:t xml:space="preserve"> này có hình thức là bài kiểm tra chi phí thấp nhấ</w:t>
      </w:r>
      <w:r w:rsidR="00EB278A" w:rsidRPr="004D2F23">
        <w:rPr>
          <w:rFonts w:ascii="Times New Roman" w:hAnsi="Times New Roman" w:cs="Times New Roman"/>
          <w:sz w:val="28"/>
          <w:szCs w:val="28"/>
        </w:rPr>
        <w:t xml:space="preserve">t, </w:t>
      </w:r>
      <w:r w:rsidRPr="004D2F23">
        <w:rPr>
          <w:rFonts w:ascii="Times New Roman" w:hAnsi="Times New Roman" w:cs="Times New Roman"/>
          <w:sz w:val="28"/>
          <w:szCs w:val="28"/>
        </w:rPr>
        <w:t xml:space="preserve">yêu cầu </w:t>
      </w:r>
      <w:r w:rsidR="00EB278A" w:rsidRPr="004D2F23">
        <w:rPr>
          <w:rFonts w:ascii="Times New Roman" w:hAnsi="Times New Roman" w:cs="Times New Roman"/>
          <w:sz w:val="28"/>
          <w:szCs w:val="28"/>
        </w:rPr>
        <w:t>BHTG</w:t>
      </w:r>
      <w:r w:rsidRPr="004D2F23">
        <w:rPr>
          <w:rFonts w:ascii="Times New Roman" w:hAnsi="Times New Roman" w:cs="Times New Roman"/>
          <w:sz w:val="28"/>
          <w:szCs w:val="28"/>
        </w:rPr>
        <w:t xml:space="preserve"> phải lựa chọn phương án có chi phí thấp nhất từ một loạt các biện pháp khả thi </w:t>
      </w:r>
      <w:r w:rsidR="007700C4" w:rsidRPr="004D2F23">
        <w:rPr>
          <w:rFonts w:ascii="Times New Roman" w:hAnsi="Times New Roman" w:cs="Times New Roman"/>
          <w:sz w:val="28"/>
          <w:szCs w:val="28"/>
        </w:rPr>
        <w:t>(so sánh giữa tiến hành</w:t>
      </w:r>
      <w:r w:rsidRPr="004D2F23">
        <w:rPr>
          <w:rFonts w:ascii="Times New Roman" w:hAnsi="Times New Roman" w:cs="Times New Roman"/>
          <w:sz w:val="28"/>
          <w:szCs w:val="28"/>
        </w:rPr>
        <w:t xml:space="preserve"> thanh lý</w:t>
      </w:r>
      <w:r w:rsidR="007700C4" w:rsidRPr="004D2F23">
        <w:rPr>
          <w:rFonts w:ascii="Times New Roman" w:hAnsi="Times New Roman" w:cs="Times New Roman"/>
          <w:sz w:val="28"/>
          <w:szCs w:val="28"/>
        </w:rPr>
        <w:t xml:space="preserve"> TCTD</w:t>
      </w:r>
      <w:r w:rsidRPr="004D2F23">
        <w:rPr>
          <w:rFonts w:ascii="Times New Roman" w:hAnsi="Times New Roman" w:cs="Times New Roman"/>
          <w:sz w:val="28"/>
          <w:szCs w:val="28"/>
        </w:rPr>
        <w:t xml:space="preserve"> và chi trả</w:t>
      </w:r>
      <w:r w:rsidR="007700C4" w:rsidRPr="004D2F23">
        <w:rPr>
          <w:rFonts w:ascii="Times New Roman" w:hAnsi="Times New Roman" w:cs="Times New Roman"/>
          <w:sz w:val="28"/>
          <w:szCs w:val="28"/>
        </w:rPr>
        <w:t xml:space="preserve"> tiền BHTG)</w:t>
      </w:r>
      <w:r w:rsidRPr="004D2F23">
        <w:rPr>
          <w:rFonts w:ascii="Times New Roman" w:hAnsi="Times New Roman" w:cs="Times New Roman"/>
          <w:sz w:val="28"/>
          <w:szCs w:val="28"/>
        </w:rPr>
        <w:t xml:space="preserve">. </w:t>
      </w:r>
      <w:r w:rsidR="00EB278A" w:rsidRPr="004D2F23">
        <w:rPr>
          <w:rFonts w:ascii="Times New Roman" w:hAnsi="Times New Roman" w:cs="Times New Roman"/>
          <w:sz w:val="28"/>
          <w:szCs w:val="28"/>
        </w:rPr>
        <w:t xml:space="preserve">Một số quốc gia đặt ra giới hạn tài chính trong việc hỗ trợ thanh khoản của TCTD (chia làm 2 loại: một số quốc gia có thể có trường hợp vượt giới </w:t>
      </w:r>
      <w:proofErr w:type="gramStart"/>
      <w:r w:rsidR="00EB278A" w:rsidRPr="004D2F23">
        <w:rPr>
          <w:rFonts w:ascii="Times New Roman" w:hAnsi="Times New Roman" w:cs="Times New Roman"/>
          <w:sz w:val="28"/>
          <w:szCs w:val="28"/>
        </w:rPr>
        <w:t>han</w:t>
      </w:r>
      <w:proofErr w:type="gramEnd"/>
      <w:r w:rsidR="00EB278A" w:rsidRPr="004D2F23">
        <w:rPr>
          <w:rFonts w:ascii="Times New Roman" w:hAnsi="Times New Roman" w:cs="Times New Roman"/>
          <w:sz w:val="28"/>
          <w:szCs w:val="28"/>
        </w:rPr>
        <w:t xml:space="preserve">, một số quốc gia không cho phép vượt giới hạn), một số quốc gia lập quỹ riêng để thực hiện tái cơ cấu. </w:t>
      </w:r>
    </w:p>
    <w:p w14:paraId="33E4461C" w14:textId="2B8FECF1" w:rsidR="00B94F10" w:rsidRPr="004D2F23" w:rsidRDefault="002D6A4B" w:rsidP="00A26ADD">
      <w:pPr>
        <w:spacing w:line="276" w:lineRule="auto"/>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Cách thức áp dụng mức trần tài chính khác nhau tùy </w:t>
      </w:r>
      <w:proofErr w:type="gramStart"/>
      <w:r w:rsidRPr="004D2F23">
        <w:rPr>
          <w:rFonts w:ascii="Times New Roman" w:hAnsi="Times New Roman" w:cs="Times New Roman"/>
          <w:sz w:val="28"/>
          <w:szCs w:val="28"/>
        </w:rPr>
        <w:t>theo</w:t>
      </w:r>
      <w:proofErr w:type="gramEnd"/>
      <w:r w:rsidRPr="004D2F23">
        <w:rPr>
          <w:rFonts w:ascii="Times New Roman" w:hAnsi="Times New Roman" w:cs="Times New Roman"/>
          <w:sz w:val="28"/>
          <w:szCs w:val="28"/>
        </w:rPr>
        <w:t xml:space="preserve"> khu vực pháp lý. Ví dụ, bài kiểm tra chi phí thấp nhất trong khuôn khổ của Hoa Kỳ yêu cầu FDIC so sánh chi phí đấu thầu nhận được từ những bên mua tiềm năng với chi phí mà FDIC sẽ phải chịu thông qua việc thanh lý ngân hàng đang phá sản với tư cách là bên tiếp nhận và trả cho những người gửi tiền được bảo hiểm lên đến số tiền được bảo hiểm hiện tại, trừ đi số tiền thu hồi dự kiến với tư cách là bên thế chấp cho các yêu cầu bồi thường của những người gửi tiền đó. FDIC phải </w:t>
      </w:r>
      <w:proofErr w:type="gramStart"/>
      <w:r w:rsidRPr="004D2F23">
        <w:rPr>
          <w:rFonts w:ascii="Times New Roman" w:hAnsi="Times New Roman" w:cs="Times New Roman"/>
          <w:sz w:val="28"/>
          <w:szCs w:val="28"/>
        </w:rPr>
        <w:t>theo</w:t>
      </w:r>
      <w:proofErr w:type="gramEnd"/>
      <w:r w:rsidRPr="004D2F23">
        <w:rPr>
          <w:rFonts w:ascii="Times New Roman" w:hAnsi="Times New Roman" w:cs="Times New Roman"/>
          <w:sz w:val="28"/>
          <w:szCs w:val="28"/>
        </w:rPr>
        <w:t xml:space="preserve"> đuổi phương án có chi phí thấp nhất. Ngược lại, theo khuôn khổ của EU về bảo hiểm tiền gửi, biện pháp bảo vệ có hình thức là mức trần tài chính, do đó, miễn là chi phí cho DIS để tài trợ cho các biện pháp thay thế không vượt quá chi phí thanh toán các khoản tiền gửi được bảo hiểm trong quá trình thanh lý, thì khoản đóng góp không bị giới hạn ở phương án có chi phí thấp nhất. Về nguyên tắc, điều này mang lại một số sự linh hoạt để tính đến các yếu tố rộng hơn, chẳng hạn như tác động của các phương </w:t>
      </w:r>
      <w:proofErr w:type="gramStart"/>
      <w:r w:rsidRPr="004D2F23">
        <w:rPr>
          <w:rFonts w:ascii="Times New Roman" w:hAnsi="Times New Roman" w:cs="Times New Roman"/>
          <w:sz w:val="28"/>
          <w:szCs w:val="28"/>
        </w:rPr>
        <w:t>án</w:t>
      </w:r>
      <w:proofErr w:type="gramEnd"/>
      <w:r w:rsidRPr="004D2F23">
        <w:rPr>
          <w:rFonts w:ascii="Times New Roman" w:hAnsi="Times New Roman" w:cs="Times New Roman"/>
          <w:sz w:val="28"/>
          <w:szCs w:val="28"/>
        </w:rPr>
        <w:t xml:space="preserve"> khác nhau đối với tính khả dụng của các dịch vụ ngân hàng trong một khu vực hoặc sự gián đoạn đối với khách hàng. Một khái niệm tương tự áp dụng cho Singapore DIS (SDIC), sử dụng khái niệm “chi phí tương đương”.35 Khái niệm này giới hạn số tiền mà quỹ DI có thể đóng góp cho các </w:t>
      </w:r>
      <w:r w:rsidRPr="004D2F23">
        <w:rPr>
          <w:rFonts w:ascii="Times New Roman" w:hAnsi="Times New Roman" w:cs="Times New Roman"/>
          <w:sz w:val="28"/>
          <w:szCs w:val="28"/>
        </w:rPr>
        <w:lastRenderedPageBreak/>
        <w:t>biện pháp giải quyết ở mức số tiền, trừ đi các khoản thu hồi, sẽ được chi trả nếu thành viên DIS bị thanh lý thay vì được giải quyết. Một sự khác biệt có liên quan giữa các khu vực pháp lý này là trong khi FDIC có nhiệm vụ kép và lựa chọn phương pháp giải quyết hoặc phá sản với tư cách là người tiếp nhận, thì các chức năng bảo hiểm tiền gửi và giải quyết hoặc phá sản lại tách biệt về mặt thể chế ở các khu vực pháp lý khác.3 Hộp 1 cung cấp thêm một số thông tin chi tiết về thông lệ quốc gia.</w:t>
      </w:r>
    </w:p>
    <w:p w14:paraId="58BB77C5" w14:textId="77777777" w:rsidR="00EB278A" w:rsidRPr="004D2F23" w:rsidRDefault="00EB278A" w:rsidP="00A26ADD">
      <w:pPr>
        <w:spacing w:line="276" w:lineRule="auto"/>
        <w:ind w:firstLine="720"/>
        <w:jc w:val="both"/>
        <w:rPr>
          <w:rFonts w:ascii="Times New Roman" w:hAnsi="Times New Roman" w:cs="Times New Roman"/>
          <w:b/>
          <w:sz w:val="28"/>
          <w:szCs w:val="28"/>
        </w:rPr>
      </w:pPr>
      <w:r w:rsidRPr="004D2F23">
        <w:rPr>
          <w:rFonts w:ascii="Times New Roman" w:hAnsi="Times New Roman" w:cs="Times New Roman"/>
          <w:b/>
          <w:sz w:val="28"/>
          <w:szCs w:val="28"/>
        </w:rPr>
        <w:t>- Kiểm soát việc đưa ra quyết định</w:t>
      </w:r>
    </w:p>
    <w:p w14:paraId="154BA2FC" w14:textId="75928418" w:rsidR="003D6725" w:rsidRPr="004D2F23" w:rsidRDefault="00D74644" w:rsidP="00432E90">
      <w:pPr>
        <w:spacing w:line="276" w:lineRule="auto"/>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Sự tham gia của BHTG trong việc đưa ra quyết định được ghi nhân trong nguyên tắc cốt lõi số 9 (tiêu chí 8): “Tổ chức BHTG được thông báo và tham gia vào quá trình ra quyết định tái cơ cấu TCTD”. Tuy nhiên phạm </w:t>
      </w:r>
      <w:proofErr w:type="gramStart"/>
      <w:r w:rsidRPr="004D2F23">
        <w:rPr>
          <w:rFonts w:ascii="Times New Roman" w:hAnsi="Times New Roman" w:cs="Times New Roman"/>
          <w:sz w:val="28"/>
          <w:szCs w:val="28"/>
        </w:rPr>
        <w:t>vi</w:t>
      </w:r>
      <w:proofErr w:type="gramEnd"/>
      <w:r w:rsidRPr="004D2F23">
        <w:rPr>
          <w:rFonts w:ascii="Times New Roman" w:hAnsi="Times New Roman" w:cs="Times New Roman"/>
          <w:sz w:val="28"/>
          <w:szCs w:val="28"/>
        </w:rPr>
        <w:t xml:space="preserve"> kiểm soát của tổ chức BHTG là khác nhau và được chia làm 3 nhóm.</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5"/>
        <w:gridCol w:w="1585"/>
        <w:gridCol w:w="1586"/>
        <w:gridCol w:w="1585"/>
        <w:gridCol w:w="1585"/>
        <w:gridCol w:w="1591"/>
      </w:tblGrid>
      <w:tr w:rsidR="004D2F23" w:rsidRPr="004D2F23" w14:paraId="5EE5C577" w14:textId="77777777" w:rsidTr="00D74644">
        <w:trPr>
          <w:trHeight w:val="188"/>
        </w:trPr>
        <w:tc>
          <w:tcPr>
            <w:tcW w:w="9517" w:type="dxa"/>
            <w:gridSpan w:val="6"/>
          </w:tcPr>
          <w:p w14:paraId="1F3C145C" w14:textId="4D661504" w:rsidR="00D74644" w:rsidRPr="004D2F23" w:rsidRDefault="00D74644" w:rsidP="00D74644">
            <w:pPr>
              <w:autoSpaceDE w:val="0"/>
              <w:autoSpaceDN w:val="0"/>
              <w:adjustRightInd w:val="0"/>
              <w:spacing w:after="0" w:line="240" w:lineRule="auto"/>
              <w:rPr>
                <w:rFonts w:ascii="Times New Roman" w:hAnsi="Times New Roman" w:cs="Times New Roman"/>
                <w:b/>
                <w:sz w:val="18"/>
                <w:szCs w:val="18"/>
              </w:rPr>
            </w:pPr>
            <w:r w:rsidRPr="004D2F23">
              <w:rPr>
                <w:rFonts w:ascii="Times New Roman" w:hAnsi="Times New Roman" w:cs="Times New Roman"/>
                <w:b/>
              </w:rPr>
              <w:t xml:space="preserve">BHTG kiểm soát việc đưa ra quyết định và quyền phủ quyết của BHTG </w:t>
            </w:r>
          </w:p>
        </w:tc>
      </w:tr>
      <w:tr w:rsidR="004D2F23" w:rsidRPr="004D2F23" w14:paraId="350C2E95" w14:textId="77777777" w:rsidTr="00D74644">
        <w:trPr>
          <w:trHeight w:val="258"/>
        </w:trPr>
        <w:tc>
          <w:tcPr>
            <w:tcW w:w="1585" w:type="dxa"/>
          </w:tcPr>
          <w:p w14:paraId="2FD56157" w14:textId="7C6E2184"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Nước (tổ chức BHTG) </w:t>
            </w:r>
          </w:p>
        </w:tc>
        <w:tc>
          <w:tcPr>
            <w:tcW w:w="1585" w:type="dxa"/>
          </w:tcPr>
          <w:p w14:paraId="28040ACB" w14:textId="68233AEB"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Cơ quan quyết định: BHTG và/hoặc Cơ quan có thẩm quyền khác </w:t>
            </w:r>
          </w:p>
        </w:tc>
        <w:tc>
          <w:tcPr>
            <w:tcW w:w="1586" w:type="dxa"/>
          </w:tcPr>
          <w:p w14:paraId="3E1ECC76" w14:textId="7CC06801"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Quyết định chung: bảo hiểm tiền gửi được quyền phủ quyết </w:t>
            </w:r>
          </w:p>
        </w:tc>
        <w:tc>
          <w:tcPr>
            <w:tcW w:w="1585" w:type="dxa"/>
          </w:tcPr>
          <w:p w14:paraId="3E96A5FB" w14:textId="55F1B602"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Cơ quan có thẩm quyền khác phải tham vấn BHTG </w:t>
            </w:r>
          </w:p>
        </w:tc>
        <w:tc>
          <w:tcPr>
            <w:tcW w:w="1585" w:type="dxa"/>
          </w:tcPr>
          <w:p w14:paraId="346A633A" w14:textId="788F97A1"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Cơ quan khác quyết định nhưng BHTG có quyền phủ quyết</w:t>
            </w:r>
          </w:p>
        </w:tc>
        <w:tc>
          <w:tcPr>
            <w:tcW w:w="1591" w:type="dxa"/>
          </w:tcPr>
          <w:p w14:paraId="706D8820" w14:textId="0E0EC331"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Bảo hiểm tiền gửi là cơ quan có thẩm quyền thực hiện tái cơ cấu </w:t>
            </w:r>
          </w:p>
        </w:tc>
      </w:tr>
      <w:tr w:rsidR="004D2F23" w:rsidRPr="004D2F23" w14:paraId="4ABA5155" w14:textId="77777777" w:rsidTr="00D74644">
        <w:trPr>
          <w:trHeight w:val="145"/>
        </w:trPr>
        <w:tc>
          <w:tcPr>
            <w:tcW w:w="1585" w:type="dxa"/>
          </w:tcPr>
          <w:p w14:paraId="2F63E6D1"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Australia (FCS) </w:t>
            </w:r>
          </w:p>
        </w:tc>
        <w:tc>
          <w:tcPr>
            <w:tcW w:w="1585" w:type="dxa"/>
          </w:tcPr>
          <w:p w14:paraId="269AADDA" w14:textId="7584A098"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Cơ quan có thẩm quyền khác</w:t>
            </w:r>
          </w:p>
        </w:tc>
        <w:tc>
          <w:tcPr>
            <w:tcW w:w="1586" w:type="dxa"/>
          </w:tcPr>
          <w:p w14:paraId="170C5A71"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4FF65726"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c>
          <w:tcPr>
            <w:tcW w:w="1585" w:type="dxa"/>
          </w:tcPr>
          <w:p w14:paraId="387A2C30"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c>
          <w:tcPr>
            <w:tcW w:w="1591" w:type="dxa"/>
          </w:tcPr>
          <w:p w14:paraId="41FE100B"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765BB04F" w14:textId="77777777" w:rsidTr="00D74644">
        <w:trPr>
          <w:trHeight w:val="158"/>
        </w:trPr>
        <w:tc>
          <w:tcPr>
            <w:tcW w:w="1585" w:type="dxa"/>
          </w:tcPr>
          <w:p w14:paraId="68CF13D3"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Honduras (FOSEDE) </w:t>
            </w:r>
          </w:p>
        </w:tc>
        <w:tc>
          <w:tcPr>
            <w:tcW w:w="1585" w:type="dxa"/>
          </w:tcPr>
          <w:p w14:paraId="6B387FB5" w14:textId="52951243"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Cơ quan có thẩm quyền khác</w:t>
            </w:r>
          </w:p>
        </w:tc>
        <w:tc>
          <w:tcPr>
            <w:tcW w:w="1586" w:type="dxa"/>
          </w:tcPr>
          <w:p w14:paraId="71883ED5"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12DF69CB"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c>
          <w:tcPr>
            <w:tcW w:w="1585" w:type="dxa"/>
          </w:tcPr>
          <w:p w14:paraId="1FEA4054"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c>
          <w:tcPr>
            <w:tcW w:w="1591" w:type="dxa"/>
          </w:tcPr>
          <w:p w14:paraId="78B2971A"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3FCD1A77" w14:textId="77777777" w:rsidTr="00D74644">
        <w:trPr>
          <w:trHeight w:val="158"/>
        </w:trPr>
        <w:tc>
          <w:tcPr>
            <w:tcW w:w="1585" w:type="dxa"/>
          </w:tcPr>
          <w:p w14:paraId="4D161CAF" w14:textId="296F1652"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Serbia (AOD)</w:t>
            </w:r>
          </w:p>
        </w:tc>
        <w:tc>
          <w:tcPr>
            <w:tcW w:w="1585" w:type="dxa"/>
          </w:tcPr>
          <w:p w14:paraId="64573E96" w14:textId="2B63AE74"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Cơ quan có thẩm quyền khác</w:t>
            </w:r>
          </w:p>
        </w:tc>
        <w:tc>
          <w:tcPr>
            <w:tcW w:w="1586" w:type="dxa"/>
          </w:tcPr>
          <w:p w14:paraId="0208F89B" w14:textId="68DBBCE6"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w:t>
            </w:r>
          </w:p>
        </w:tc>
        <w:tc>
          <w:tcPr>
            <w:tcW w:w="1585" w:type="dxa"/>
          </w:tcPr>
          <w:p w14:paraId="2D360C4E" w14:textId="3F43EDDD"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Segoe UI" w:hAnsi="Segoe UI" w:cs="Segoe UI"/>
                <w:sz w:val="17"/>
                <w:szCs w:val="17"/>
              </w:rPr>
              <w:t xml:space="preserve"> </w:t>
            </w:r>
            <w:r w:rsidRPr="004D2F23">
              <w:rPr>
                <w:rFonts w:ascii="Wingdings" w:hAnsi="Wingdings" w:cs="Wingdings"/>
                <w:sz w:val="17"/>
                <w:szCs w:val="17"/>
              </w:rPr>
              <w:t></w:t>
            </w:r>
          </w:p>
        </w:tc>
        <w:tc>
          <w:tcPr>
            <w:tcW w:w="1585" w:type="dxa"/>
          </w:tcPr>
          <w:p w14:paraId="0D82D672" w14:textId="7E22299A"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p>
        </w:tc>
        <w:tc>
          <w:tcPr>
            <w:tcW w:w="1591" w:type="dxa"/>
          </w:tcPr>
          <w:p w14:paraId="6F69902E" w14:textId="38EE2D4B"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1D176362" w14:textId="77777777" w:rsidTr="00D74644">
        <w:trPr>
          <w:trHeight w:val="157"/>
        </w:trPr>
        <w:tc>
          <w:tcPr>
            <w:tcW w:w="1585" w:type="dxa"/>
          </w:tcPr>
          <w:p w14:paraId="0DC90939"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Singapore (SDIC) </w:t>
            </w:r>
          </w:p>
        </w:tc>
        <w:tc>
          <w:tcPr>
            <w:tcW w:w="1585" w:type="dxa"/>
          </w:tcPr>
          <w:p w14:paraId="74737698" w14:textId="6AFA4F41"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Cơ quan có thẩm quyền khác</w:t>
            </w:r>
          </w:p>
        </w:tc>
        <w:tc>
          <w:tcPr>
            <w:tcW w:w="1586" w:type="dxa"/>
          </w:tcPr>
          <w:p w14:paraId="0C99897A"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793BC24B"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c>
          <w:tcPr>
            <w:tcW w:w="1585" w:type="dxa"/>
          </w:tcPr>
          <w:p w14:paraId="0499A133"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c>
          <w:tcPr>
            <w:tcW w:w="1591" w:type="dxa"/>
          </w:tcPr>
          <w:p w14:paraId="14C9CF03"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325F7564" w14:textId="77777777" w:rsidTr="00D74644">
        <w:trPr>
          <w:trHeight w:val="145"/>
        </w:trPr>
        <w:tc>
          <w:tcPr>
            <w:tcW w:w="1585" w:type="dxa"/>
          </w:tcPr>
          <w:p w14:paraId="254C7068"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UK (FSCS) </w:t>
            </w:r>
          </w:p>
        </w:tc>
        <w:tc>
          <w:tcPr>
            <w:tcW w:w="1585" w:type="dxa"/>
          </w:tcPr>
          <w:p w14:paraId="00811C67" w14:textId="092D8F2B"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Cơ quan có thẩm quyền khác</w:t>
            </w:r>
          </w:p>
        </w:tc>
        <w:tc>
          <w:tcPr>
            <w:tcW w:w="1586" w:type="dxa"/>
          </w:tcPr>
          <w:p w14:paraId="742B4DFE"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3C5BFA6B"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c>
          <w:tcPr>
            <w:tcW w:w="1585" w:type="dxa"/>
          </w:tcPr>
          <w:p w14:paraId="2FA2A487"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c>
          <w:tcPr>
            <w:tcW w:w="1591" w:type="dxa"/>
          </w:tcPr>
          <w:p w14:paraId="0D8E97BA"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1CBA1ADB" w14:textId="77777777" w:rsidTr="00D74644">
        <w:trPr>
          <w:trHeight w:val="157"/>
        </w:trPr>
        <w:tc>
          <w:tcPr>
            <w:tcW w:w="1585" w:type="dxa"/>
          </w:tcPr>
          <w:p w14:paraId="1327475C"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Barbados (BDIC) </w:t>
            </w:r>
          </w:p>
        </w:tc>
        <w:tc>
          <w:tcPr>
            <w:tcW w:w="1585" w:type="dxa"/>
          </w:tcPr>
          <w:p w14:paraId="64E95994" w14:textId="01B8FDD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 và Cơ quan có thẩm quyền khác</w:t>
            </w:r>
          </w:p>
        </w:tc>
        <w:tc>
          <w:tcPr>
            <w:tcW w:w="1586" w:type="dxa"/>
          </w:tcPr>
          <w:p w14:paraId="671E75B4"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c>
          <w:tcPr>
            <w:tcW w:w="1585" w:type="dxa"/>
          </w:tcPr>
          <w:p w14:paraId="16966CA9"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23D342F2"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7ABC168D"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63D4B07F" w14:textId="77777777" w:rsidTr="00D74644">
        <w:trPr>
          <w:trHeight w:val="145"/>
        </w:trPr>
        <w:tc>
          <w:tcPr>
            <w:tcW w:w="1585" w:type="dxa"/>
          </w:tcPr>
          <w:p w14:paraId="2AA5124F"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Italy (FITD) </w:t>
            </w:r>
          </w:p>
        </w:tc>
        <w:tc>
          <w:tcPr>
            <w:tcW w:w="1585" w:type="dxa"/>
          </w:tcPr>
          <w:p w14:paraId="19BC36DF"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DIA &amp; AA </w:t>
            </w:r>
          </w:p>
        </w:tc>
        <w:tc>
          <w:tcPr>
            <w:tcW w:w="1586" w:type="dxa"/>
          </w:tcPr>
          <w:p w14:paraId="6491B824"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c>
          <w:tcPr>
            <w:tcW w:w="1585" w:type="dxa"/>
          </w:tcPr>
          <w:p w14:paraId="45522095"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7AB8D65B"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20046649"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2D37CD62" w14:textId="77777777" w:rsidTr="00D74644">
        <w:trPr>
          <w:trHeight w:val="157"/>
        </w:trPr>
        <w:tc>
          <w:tcPr>
            <w:tcW w:w="1585" w:type="dxa"/>
          </w:tcPr>
          <w:p w14:paraId="7183D7E4"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Jamaica (JDIC) </w:t>
            </w:r>
          </w:p>
        </w:tc>
        <w:tc>
          <w:tcPr>
            <w:tcW w:w="1585" w:type="dxa"/>
          </w:tcPr>
          <w:p w14:paraId="69FE4B46" w14:textId="060F79E4"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 và Cơ quan có thẩm quyền khác</w:t>
            </w:r>
          </w:p>
        </w:tc>
        <w:tc>
          <w:tcPr>
            <w:tcW w:w="1586" w:type="dxa"/>
          </w:tcPr>
          <w:p w14:paraId="5B9AA999"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c>
          <w:tcPr>
            <w:tcW w:w="1585" w:type="dxa"/>
          </w:tcPr>
          <w:p w14:paraId="5769455F"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7C9731D6"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4F5FE743"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01348A81" w14:textId="77777777" w:rsidTr="00D74644">
        <w:trPr>
          <w:trHeight w:val="157"/>
        </w:trPr>
        <w:tc>
          <w:tcPr>
            <w:tcW w:w="1585" w:type="dxa"/>
          </w:tcPr>
          <w:p w14:paraId="641364D3" w14:textId="7A09E06A"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Mông Cổ</w:t>
            </w:r>
          </w:p>
        </w:tc>
        <w:tc>
          <w:tcPr>
            <w:tcW w:w="1585" w:type="dxa"/>
          </w:tcPr>
          <w:p w14:paraId="570FCBD1" w14:textId="63CADD4F"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 và Cơ quan có thẩm quyền khác</w:t>
            </w:r>
          </w:p>
        </w:tc>
        <w:tc>
          <w:tcPr>
            <w:tcW w:w="1586" w:type="dxa"/>
          </w:tcPr>
          <w:p w14:paraId="140AF09D" w14:textId="5F272A92"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c>
          <w:tcPr>
            <w:tcW w:w="1585" w:type="dxa"/>
          </w:tcPr>
          <w:p w14:paraId="02BD68CB" w14:textId="7C991AD9"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3769D83D" w14:textId="18A7E1AF"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7299613E" w14:textId="7B89AAF2"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153AA7E3" w14:textId="77777777" w:rsidTr="00D74644">
        <w:trPr>
          <w:trHeight w:val="157"/>
        </w:trPr>
        <w:tc>
          <w:tcPr>
            <w:tcW w:w="1585" w:type="dxa"/>
          </w:tcPr>
          <w:p w14:paraId="736E4DE0"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Russia (ASV) </w:t>
            </w:r>
          </w:p>
        </w:tc>
        <w:tc>
          <w:tcPr>
            <w:tcW w:w="1585" w:type="dxa"/>
          </w:tcPr>
          <w:p w14:paraId="69AE79DE" w14:textId="24921C4B"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 và Cơ quan có thẩm quyền khác</w:t>
            </w:r>
          </w:p>
        </w:tc>
        <w:tc>
          <w:tcPr>
            <w:tcW w:w="1586" w:type="dxa"/>
          </w:tcPr>
          <w:p w14:paraId="65861E46"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c>
          <w:tcPr>
            <w:tcW w:w="1585" w:type="dxa"/>
          </w:tcPr>
          <w:p w14:paraId="65446175"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0B5BB347"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57F9623D"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55A1D91A" w14:textId="77777777" w:rsidTr="00D74644">
        <w:trPr>
          <w:trHeight w:val="145"/>
        </w:trPr>
        <w:tc>
          <w:tcPr>
            <w:tcW w:w="1585" w:type="dxa"/>
          </w:tcPr>
          <w:p w14:paraId="06476E42"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Morocco (FCGB) </w:t>
            </w:r>
          </w:p>
        </w:tc>
        <w:tc>
          <w:tcPr>
            <w:tcW w:w="1585" w:type="dxa"/>
          </w:tcPr>
          <w:p w14:paraId="7D5D95B1" w14:textId="7A23B3C6"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 và Cơ quan có thẩm quyền khác</w:t>
            </w:r>
          </w:p>
        </w:tc>
        <w:tc>
          <w:tcPr>
            <w:tcW w:w="1586" w:type="dxa"/>
          </w:tcPr>
          <w:p w14:paraId="0A449E97"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c>
          <w:tcPr>
            <w:tcW w:w="1585" w:type="dxa"/>
          </w:tcPr>
          <w:p w14:paraId="0584C0EE"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50EA152B"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3F3B00FE"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7C10FF3D" w14:textId="77777777" w:rsidTr="00D74644">
        <w:trPr>
          <w:trHeight w:val="157"/>
        </w:trPr>
        <w:tc>
          <w:tcPr>
            <w:tcW w:w="1585" w:type="dxa"/>
          </w:tcPr>
          <w:p w14:paraId="3D12A991"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Norway (NBGF) </w:t>
            </w:r>
          </w:p>
        </w:tc>
        <w:tc>
          <w:tcPr>
            <w:tcW w:w="1585" w:type="dxa"/>
          </w:tcPr>
          <w:p w14:paraId="0FFFE177" w14:textId="19E4D828"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 và Cơ quan có thẩm quyền khác</w:t>
            </w:r>
          </w:p>
        </w:tc>
        <w:tc>
          <w:tcPr>
            <w:tcW w:w="1586" w:type="dxa"/>
          </w:tcPr>
          <w:p w14:paraId="66795823"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c>
          <w:tcPr>
            <w:tcW w:w="1585" w:type="dxa"/>
          </w:tcPr>
          <w:p w14:paraId="5837229C"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5637AA17"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30851204"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142F49F8" w14:textId="77777777" w:rsidTr="00D74644">
        <w:trPr>
          <w:trHeight w:val="145"/>
        </w:trPr>
        <w:tc>
          <w:tcPr>
            <w:tcW w:w="1585" w:type="dxa"/>
          </w:tcPr>
          <w:p w14:paraId="331CB48E"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Bahamas (DIC-BS) </w:t>
            </w:r>
          </w:p>
        </w:tc>
        <w:tc>
          <w:tcPr>
            <w:tcW w:w="1585" w:type="dxa"/>
          </w:tcPr>
          <w:p w14:paraId="6F478CEA" w14:textId="074F8CFB"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w:t>
            </w:r>
          </w:p>
        </w:tc>
        <w:tc>
          <w:tcPr>
            <w:tcW w:w="1586" w:type="dxa"/>
          </w:tcPr>
          <w:p w14:paraId="26F5EB57"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435225AC"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417C12BF"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4FE80C5E"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405EEDF9" w14:textId="77777777" w:rsidTr="00D74644">
        <w:trPr>
          <w:trHeight w:val="158"/>
        </w:trPr>
        <w:tc>
          <w:tcPr>
            <w:tcW w:w="1585" w:type="dxa"/>
          </w:tcPr>
          <w:p w14:paraId="75355E12"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Brazil (FGC) </w:t>
            </w:r>
          </w:p>
        </w:tc>
        <w:tc>
          <w:tcPr>
            <w:tcW w:w="1585" w:type="dxa"/>
          </w:tcPr>
          <w:p w14:paraId="1B66D479" w14:textId="5EED6EC6"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BHTG </w:t>
            </w:r>
          </w:p>
        </w:tc>
        <w:tc>
          <w:tcPr>
            <w:tcW w:w="1586" w:type="dxa"/>
          </w:tcPr>
          <w:p w14:paraId="52F1EA37"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25B32C07"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65ACDF88"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34086030"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6B4F29D0" w14:textId="77777777" w:rsidTr="00D74644">
        <w:trPr>
          <w:trHeight w:val="145"/>
        </w:trPr>
        <w:tc>
          <w:tcPr>
            <w:tcW w:w="1585" w:type="dxa"/>
          </w:tcPr>
          <w:p w14:paraId="14DC4FD0"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Canada (CDIC) </w:t>
            </w:r>
          </w:p>
        </w:tc>
        <w:tc>
          <w:tcPr>
            <w:tcW w:w="1585" w:type="dxa"/>
          </w:tcPr>
          <w:p w14:paraId="62EE96AF" w14:textId="3023ED69"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w:t>
            </w:r>
          </w:p>
        </w:tc>
        <w:tc>
          <w:tcPr>
            <w:tcW w:w="1586" w:type="dxa"/>
          </w:tcPr>
          <w:p w14:paraId="76179349"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017A3DF3"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49A75271"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3312979D"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098EAF39" w14:textId="77777777" w:rsidTr="00D74644">
        <w:trPr>
          <w:trHeight w:val="158"/>
        </w:trPr>
        <w:tc>
          <w:tcPr>
            <w:tcW w:w="1585" w:type="dxa"/>
          </w:tcPr>
          <w:p w14:paraId="57041137"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Colombia (Fogafín) </w:t>
            </w:r>
          </w:p>
        </w:tc>
        <w:tc>
          <w:tcPr>
            <w:tcW w:w="1585" w:type="dxa"/>
          </w:tcPr>
          <w:p w14:paraId="5215402C" w14:textId="38FF4C4A"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BHTG </w:t>
            </w:r>
          </w:p>
        </w:tc>
        <w:tc>
          <w:tcPr>
            <w:tcW w:w="1586" w:type="dxa"/>
          </w:tcPr>
          <w:p w14:paraId="144BC5FB"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39F6FA89"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52F63721"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4AADD344"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49C01884" w14:textId="77777777" w:rsidTr="00D74644">
        <w:trPr>
          <w:trHeight w:val="145"/>
        </w:trPr>
        <w:tc>
          <w:tcPr>
            <w:tcW w:w="1585" w:type="dxa"/>
          </w:tcPr>
          <w:p w14:paraId="41E4D72D"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Ecuador (COSEDE) </w:t>
            </w:r>
          </w:p>
        </w:tc>
        <w:tc>
          <w:tcPr>
            <w:tcW w:w="1585" w:type="dxa"/>
          </w:tcPr>
          <w:p w14:paraId="031FBF67" w14:textId="709C0048"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w:t>
            </w:r>
          </w:p>
        </w:tc>
        <w:tc>
          <w:tcPr>
            <w:tcW w:w="1586" w:type="dxa"/>
          </w:tcPr>
          <w:p w14:paraId="73FE9507"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08A819BF"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33F063AB"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282C6233"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07EF295F" w14:textId="77777777" w:rsidTr="00D74644">
        <w:trPr>
          <w:trHeight w:val="158"/>
        </w:trPr>
        <w:tc>
          <w:tcPr>
            <w:tcW w:w="1585" w:type="dxa"/>
          </w:tcPr>
          <w:p w14:paraId="69795F8F"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Finland (DGF) </w:t>
            </w:r>
          </w:p>
        </w:tc>
        <w:tc>
          <w:tcPr>
            <w:tcW w:w="1585" w:type="dxa"/>
          </w:tcPr>
          <w:p w14:paraId="7053E875" w14:textId="0E657D8F"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w:t>
            </w:r>
          </w:p>
        </w:tc>
        <w:tc>
          <w:tcPr>
            <w:tcW w:w="1586" w:type="dxa"/>
          </w:tcPr>
          <w:p w14:paraId="5E09C5D7"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37F7B454"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34CDD195"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56EE1D84"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325B2E42" w14:textId="77777777" w:rsidTr="00D74644">
        <w:trPr>
          <w:trHeight w:val="145"/>
        </w:trPr>
        <w:tc>
          <w:tcPr>
            <w:tcW w:w="1585" w:type="dxa"/>
          </w:tcPr>
          <w:p w14:paraId="7D12E1DF"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Germany (BVR) </w:t>
            </w:r>
          </w:p>
        </w:tc>
        <w:tc>
          <w:tcPr>
            <w:tcW w:w="1585" w:type="dxa"/>
          </w:tcPr>
          <w:p w14:paraId="58702956" w14:textId="05196C82"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w:t>
            </w:r>
          </w:p>
        </w:tc>
        <w:tc>
          <w:tcPr>
            <w:tcW w:w="1586" w:type="dxa"/>
          </w:tcPr>
          <w:p w14:paraId="61EEB5DC"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1DC3AF29"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7723837E"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2878838B"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51E382B7" w14:textId="77777777" w:rsidTr="00D74644">
        <w:trPr>
          <w:trHeight w:val="158"/>
        </w:trPr>
        <w:tc>
          <w:tcPr>
            <w:tcW w:w="1585" w:type="dxa"/>
          </w:tcPr>
          <w:p w14:paraId="6F0A6DBE"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Germany (DPFB) </w:t>
            </w:r>
          </w:p>
        </w:tc>
        <w:tc>
          <w:tcPr>
            <w:tcW w:w="1585" w:type="dxa"/>
          </w:tcPr>
          <w:p w14:paraId="7E211512" w14:textId="147E42AA"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w:t>
            </w:r>
          </w:p>
        </w:tc>
        <w:tc>
          <w:tcPr>
            <w:tcW w:w="1586" w:type="dxa"/>
          </w:tcPr>
          <w:p w14:paraId="563247E7"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61FD4634"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4C7B1833"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295C382B"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504EB08F" w14:textId="77777777" w:rsidTr="00D74644">
        <w:trPr>
          <w:trHeight w:val="145"/>
        </w:trPr>
        <w:tc>
          <w:tcPr>
            <w:tcW w:w="1585" w:type="dxa"/>
          </w:tcPr>
          <w:p w14:paraId="201A900F"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Indonesia (IDIC) </w:t>
            </w:r>
          </w:p>
        </w:tc>
        <w:tc>
          <w:tcPr>
            <w:tcW w:w="1585" w:type="dxa"/>
          </w:tcPr>
          <w:p w14:paraId="3615404E" w14:textId="16A502B0"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w:t>
            </w:r>
          </w:p>
        </w:tc>
        <w:tc>
          <w:tcPr>
            <w:tcW w:w="1586" w:type="dxa"/>
          </w:tcPr>
          <w:p w14:paraId="6850B44B"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7B2197C8"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52C8BB22"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79BFDB58"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5555100A" w14:textId="77777777" w:rsidTr="00D74644">
        <w:trPr>
          <w:trHeight w:val="145"/>
        </w:trPr>
        <w:tc>
          <w:tcPr>
            <w:tcW w:w="1585" w:type="dxa"/>
          </w:tcPr>
          <w:p w14:paraId="037849FE" w14:textId="3EC7C728"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Japan (DICJ) </w:t>
            </w:r>
          </w:p>
        </w:tc>
        <w:tc>
          <w:tcPr>
            <w:tcW w:w="1585" w:type="dxa"/>
          </w:tcPr>
          <w:p w14:paraId="38BB34AB" w14:textId="5FF20D1B"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w:t>
            </w:r>
          </w:p>
        </w:tc>
        <w:tc>
          <w:tcPr>
            <w:tcW w:w="1586" w:type="dxa"/>
          </w:tcPr>
          <w:p w14:paraId="00E06216" w14:textId="7DB011DB"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3B1F90ED" w14:textId="66A9EC2D"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4507B103" w14:textId="1FD670A9"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531E8805" w14:textId="00ACD5F8"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455E3708" w14:textId="77777777" w:rsidTr="00D74644">
        <w:trPr>
          <w:trHeight w:val="145"/>
        </w:trPr>
        <w:tc>
          <w:tcPr>
            <w:tcW w:w="1585" w:type="dxa"/>
          </w:tcPr>
          <w:p w14:paraId="3300DCF8"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Korea (KDIC) </w:t>
            </w:r>
          </w:p>
        </w:tc>
        <w:tc>
          <w:tcPr>
            <w:tcW w:w="1585" w:type="dxa"/>
          </w:tcPr>
          <w:p w14:paraId="4329DCE7" w14:textId="2FEBC0F5"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w:t>
            </w:r>
          </w:p>
        </w:tc>
        <w:tc>
          <w:tcPr>
            <w:tcW w:w="1586" w:type="dxa"/>
          </w:tcPr>
          <w:p w14:paraId="380C5658"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4C59524C"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19B70FC5"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1EE4AA19"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7867E898" w14:textId="77777777" w:rsidTr="00D74644">
        <w:trPr>
          <w:trHeight w:val="158"/>
        </w:trPr>
        <w:tc>
          <w:tcPr>
            <w:tcW w:w="1585" w:type="dxa"/>
          </w:tcPr>
          <w:p w14:paraId="4A71FF5A"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Mexico (IPAB) </w:t>
            </w:r>
          </w:p>
        </w:tc>
        <w:tc>
          <w:tcPr>
            <w:tcW w:w="1585" w:type="dxa"/>
          </w:tcPr>
          <w:p w14:paraId="125E0A8C" w14:textId="43A4C8EF"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w:t>
            </w:r>
          </w:p>
        </w:tc>
        <w:tc>
          <w:tcPr>
            <w:tcW w:w="1586" w:type="dxa"/>
          </w:tcPr>
          <w:p w14:paraId="3CC75116"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457E839F"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218C414E"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1CB21F4F"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5EAE1F07" w14:textId="77777777" w:rsidTr="00D74644">
        <w:trPr>
          <w:trHeight w:val="145"/>
        </w:trPr>
        <w:tc>
          <w:tcPr>
            <w:tcW w:w="1585" w:type="dxa"/>
          </w:tcPr>
          <w:p w14:paraId="455319B0"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Nigeria (NDIC) </w:t>
            </w:r>
          </w:p>
        </w:tc>
        <w:tc>
          <w:tcPr>
            <w:tcW w:w="1585" w:type="dxa"/>
          </w:tcPr>
          <w:p w14:paraId="200D4231" w14:textId="32C85909"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w:t>
            </w:r>
          </w:p>
        </w:tc>
        <w:tc>
          <w:tcPr>
            <w:tcW w:w="1586" w:type="dxa"/>
          </w:tcPr>
          <w:p w14:paraId="37B10FB1"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1EB3D47E"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73EB9B6B"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30B65A2C"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4BDC0B19" w14:textId="77777777" w:rsidTr="00D74644">
        <w:trPr>
          <w:trHeight w:val="157"/>
        </w:trPr>
        <w:tc>
          <w:tcPr>
            <w:tcW w:w="1585" w:type="dxa"/>
          </w:tcPr>
          <w:p w14:paraId="58E92F9A"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Poland (BFG) </w:t>
            </w:r>
          </w:p>
        </w:tc>
        <w:tc>
          <w:tcPr>
            <w:tcW w:w="1585" w:type="dxa"/>
          </w:tcPr>
          <w:p w14:paraId="04D3FB8B" w14:textId="38BAA3C5"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w:t>
            </w:r>
          </w:p>
        </w:tc>
        <w:tc>
          <w:tcPr>
            <w:tcW w:w="1586" w:type="dxa"/>
          </w:tcPr>
          <w:p w14:paraId="5365B9BE"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00939B59"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39BB5955"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635EEDF7"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75D98A4F" w14:textId="77777777" w:rsidTr="00D74644">
        <w:trPr>
          <w:trHeight w:val="145"/>
        </w:trPr>
        <w:tc>
          <w:tcPr>
            <w:tcW w:w="1585" w:type="dxa"/>
          </w:tcPr>
          <w:p w14:paraId="53A2AD46"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lastRenderedPageBreak/>
              <w:t xml:space="preserve">Spain (FGD) </w:t>
            </w:r>
          </w:p>
        </w:tc>
        <w:tc>
          <w:tcPr>
            <w:tcW w:w="1585" w:type="dxa"/>
          </w:tcPr>
          <w:p w14:paraId="22DE458D" w14:textId="34AFCEA3"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w:t>
            </w:r>
          </w:p>
        </w:tc>
        <w:tc>
          <w:tcPr>
            <w:tcW w:w="1586" w:type="dxa"/>
          </w:tcPr>
          <w:p w14:paraId="441EF403"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7283DCFF"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47C20E89"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7AB466D2"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44F8650A" w14:textId="77777777" w:rsidTr="00D74644">
        <w:trPr>
          <w:trHeight w:val="157"/>
        </w:trPr>
        <w:tc>
          <w:tcPr>
            <w:tcW w:w="1585" w:type="dxa"/>
          </w:tcPr>
          <w:p w14:paraId="359BFB00"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Sri Lanka (SLDIS) </w:t>
            </w:r>
          </w:p>
        </w:tc>
        <w:tc>
          <w:tcPr>
            <w:tcW w:w="1585" w:type="dxa"/>
          </w:tcPr>
          <w:p w14:paraId="3BF9040B" w14:textId="590F0D1B"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w:t>
            </w:r>
          </w:p>
        </w:tc>
        <w:tc>
          <w:tcPr>
            <w:tcW w:w="1586" w:type="dxa"/>
          </w:tcPr>
          <w:p w14:paraId="5B1CFA0E"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01B1BFAF"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1B1352D3"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4F5D2F9C"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768CB069" w14:textId="77777777" w:rsidTr="00D74644">
        <w:trPr>
          <w:trHeight w:val="145"/>
        </w:trPr>
        <w:tc>
          <w:tcPr>
            <w:tcW w:w="1585" w:type="dxa"/>
          </w:tcPr>
          <w:p w14:paraId="084903A8"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Turkey (SDIF) </w:t>
            </w:r>
          </w:p>
        </w:tc>
        <w:tc>
          <w:tcPr>
            <w:tcW w:w="1585" w:type="dxa"/>
          </w:tcPr>
          <w:p w14:paraId="741E0165" w14:textId="2EF05522"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w:t>
            </w:r>
          </w:p>
        </w:tc>
        <w:tc>
          <w:tcPr>
            <w:tcW w:w="1586" w:type="dxa"/>
          </w:tcPr>
          <w:p w14:paraId="3E2876D4"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316375AA"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4FA5BBA5"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241C8E52"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58BAE462" w14:textId="77777777" w:rsidTr="00D74644">
        <w:trPr>
          <w:trHeight w:val="157"/>
        </w:trPr>
        <w:tc>
          <w:tcPr>
            <w:tcW w:w="1585" w:type="dxa"/>
          </w:tcPr>
          <w:p w14:paraId="0E589712"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Uruguay (COPAB) </w:t>
            </w:r>
          </w:p>
        </w:tc>
        <w:tc>
          <w:tcPr>
            <w:tcW w:w="1585" w:type="dxa"/>
          </w:tcPr>
          <w:p w14:paraId="77A848CE" w14:textId="4CD0E94D"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w:t>
            </w:r>
          </w:p>
        </w:tc>
        <w:tc>
          <w:tcPr>
            <w:tcW w:w="1586" w:type="dxa"/>
          </w:tcPr>
          <w:p w14:paraId="0DFDFAAE"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638691CB"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3C93F582"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133E5120"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r w:rsidR="004D2F23" w:rsidRPr="004D2F23" w14:paraId="53D2FE75" w14:textId="77777777" w:rsidTr="00D74644">
        <w:trPr>
          <w:trHeight w:val="145"/>
        </w:trPr>
        <w:tc>
          <w:tcPr>
            <w:tcW w:w="1585" w:type="dxa"/>
          </w:tcPr>
          <w:p w14:paraId="14D86071" w14:textId="77777777"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 xml:space="preserve">US (FDIC) </w:t>
            </w:r>
          </w:p>
        </w:tc>
        <w:tc>
          <w:tcPr>
            <w:tcW w:w="1585" w:type="dxa"/>
          </w:tcPr>
          <w:p w14:paraId="4BF8848D" w14:textId="784C7C9F" w:rsidR="00D74644" w:rsidRPr="004D2F23" w:rsidRDefault="00D74644" w:rsidP="00D74644">
            <w:pPr>
              <w:autoSpaceDE w:val="0"/>
              <w:autoSpaceDN w:val="0"/>
              <w:adjustRightInd w:val="0"/>
              <w:spacing w:after="0" w:line="240" w:lineRule="auto"/>
              <w:rPr>
                <w:rFonts w:ascii="Times New Roman" w:hAnsi="Times New Roman" w:cs="Times New Roman"/>
                <w:sz w:val="17"/>
                <w:szCs w:val="17"/>
              </w:rPr>
            </w:pPr>
            <w:r w:rsidRPr="004D2F23">
              <w:rPr>
                <w:rFonts w:ascii="Times New Roman" w:hAnsi="Times New Roman" w:cs="Times New Roman"/>
                <w:sz w:val="17"/>
                <w:szCs w:val="17"/>
              </w:rPr>
              <w:t>BHTG</w:t>
            </w:r>
          </w:p>
        </w:tc>
        <w:tc>
          <w:tcPr>
            <w:tcW w:w="1586" w:type="dxa"/>
          </w:tcPr>
          <w:p w14:paraId="1801E33A"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1B76DEEC"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85" w:type="dxa"/>
          </w:tcPr>
          <w:p w14:paraId="3A52B5B6" w14:textId="77777777" w:rsidR="00D74644" w:rsidRPr="004D2F23" w:rsidRDefault="00D74644" w:rsidP="00D74644">
            <w:pPr>
              <w:autoSpaceDE w:val="0"/>
              <w:autoSpaceDN w:val="0"/>
              <w:adjustRightInd w:val="0"/>
              <w:spacing w:after="0" w:line="240" w:lineRule="auto"/>
              <w:rPr>
                <w:rFonts w:ascii="Segoe UI" w:hAnsi="Segoe UI" w:cs="Segoe UI"/>
                <w:sz w:val="17"/>
                <w:szCs w:val="17"/>
              </w:rPr>
            </w:pPr>
            <w:r w:rsidRPr="004D2F23">
              <w:rPr>
                <w:rFonts w:ascii="Segoe UI" w:hAnsi="Segoe UI" w:cs="Segoe UI"/>
                <w:sz w:val="17"/>
                <w:szCs w:val="17"/>
              </w:rPr>
              <w:t xml:space="preserve">- </w:t>
            </w:r>
          </w:p>
        </w:tc>
        <w:tc>
          <w:tcPr>
            <w:tcW w:w="1591" w:type="dxa"/>
          </w:tcPr>
          <w:p w14:paraId="1211E6E1" w14:textId="77777777" w:rsidR="00D74644" w:rsidRPr="004D2F23" w:rsidRDefault="00D74644" w:rsidP="00D74644">
            <w:pPr>
              <w:autoSpaceDE w:val="0"/>
              <w:autoSpaceDN w:val="0"/>
              <w:adjustRightInd w:val="0"/>
              <w:spacing w:after="0" w:line="240" w:lineRule="auto"/>
              <w:rPr>
                <w:rFonts w:ascii="Wingdings" w:hAnsi="Wingdings" w:cs="Wingdings"/>
                <w:sz w:val="17"/>
                <w:szCs w:val="17"/>
              </w:rPr>
            </w:pPr>
            <w:r w:rsidRPr="004D2F23">
              <w:rPr>
                <w:rFonts w:ascii="Wingdings" w:hAnsi="Wingdings" w:cs="Wingdings"/>
                <w:sz w:val="17"/>
                <w:szCs w:val="17"/>
              </w:rPr>
              <w:t></w:t>
            </w:r>
            <w:r w:rsidRPr="004D2F23">
              <w:rPr>
                <w:rFonts w:ascii="Wingdings" w:hAnsi="Wingdings" w:cs="Wingdings"/>
                <w:sz w:val="17"/>
                <w:szCs w:val="17"/>
              </w:rPr>
              <w:t></w:t>
            </w:r>
          </w:p>
        </w:tc>
      </w:tr>
    </w:tbl>
    <w:p w14:paraId="13096236" w14:textId="77777777" w:rsidR="00D74644" w:rsidRPr="004D2F23" w:rsidRDefault="00D74644" w:rsidP="00D74644">
      <w:pPr>
        <w:jc w:val="both"/>
        <w:rPr>
          <w:rFonts w:ascii="Times New Roman" w:hAnsi="Times New Roman" w:cs="Times New Roman"/>
          <w:sz w:val="28"/>
          <w:szCs w:val="28"/>
        </w:rPr>
      </w:pPr>
    </w:p>
    <w:p w14:paraId="73B505C8" w14:textId="77777777" w:rsidR="00E414B8" w:rsidRPr="004D2F23" w:rsidRDefault="00D74644" w:rsidP="00A26ADD">
      <w:pPr>
        <w:spacing w:line="276" w:lineRule="auto"/>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Theo đó, 19 tổ chức BHTG có quyền kiểm soát, tổ chức BHTG có toàn quyền quyết định về cách thức sử dụng quỹ BHTG để thực hiện nhiệm vụ tái cơ cấu. </w:t>
      </w:r>
      <w:r w:rsidR="00E414B8" w:rsidRPr="004D2F23">
        <w:rPr>
          <w:rFonts w:ascii="Times New Roman" w:hAnsi="Times New Roman" w:cs="Times New Roman"/>
          <w:sz w:val="28"/>
          <w:szCs w:val="28"/>
        </w:rPr>
        <w:t xml:space="preserve">Ví dụ, DIS Úc (FCS) được quản lý bởi Cơ quan quản lý thận trọng Úc (APRA), cũng là cơ quan thực hiện tái cơ cấu ngân hàng. Khung pháp lý của Úc giới hạn mức hỗ trợ tài chính mà FCS có thể cung cấp trừ khi được cơ quan lập pháp chấp thuận. Trong trường hợp này, Chính phủ có thể cung cấp, bằng khoản phân bổ thường trực, lên đến 20 tỷ đô la Úc để tài trợ cho việc chuyển các khoản nợ tiền gửi được bảo vệ sang một cơ quan tiếp nhận và lên đến 100 triệu đô la Úc để trang trải chi phí quản lý, cho một ngân hàng riêng lẻ. Việc tài trợ thêm sẽ cần có sự chấp thuận của Quốc hội. </w:t>
      </w:r>
    </w:p>
    <w:p w14:paraId="4D91F101" w14:textId="77777777" w:rsidR="00E414B8" w:rsidRPr="004D2F23" w:rsidRDefault="00D74644" w:rsidP="00A26ADD">
      <w:pPr>
        <w:spacing w:line="276" w:lineRule="auto"/>
        <w:ind w:firstLine="720"/>
        <w:jc w:val="both"/>
        <w:rPr>
          <w:rFonts w:ascii="Times New Roman" w:hAnsi="Times New Roman" w:cs="Times New Roman"/>
          <w:sz w:val="28"/>
          <w:szCs w:val="28"/>
        </w:rPr>
      </w:pPr>
      <w:r w:rsidRPr="004D2F23">
        <w:rPr>
          <w:rFonts w:ascii="Times New Roman" w:hAnsi="Times New Roman" w:cs="Times New Roman"/>
          <w:sz w:val="28"/>
          <w:szCs w:val="28"/>
        </w:rPr>
        <w:t>Có 5 trường hợp mà quyết định được đưa ra bởi một cơ quan khác nhưng tham vấn BHTG trước khi đưa ra quyết định cuối cùng về việc sử dụng quỹ BHTG, 1/5 BHTG đó có thể thực hiện quyền phủ quyết</w:t>
      </w:r>
      <w:r w:rsidR="00E414B8" w:rsidRPr="004D2F23">
        <w:rPr>
          <w:rFonts w:ascii="Times New Roman" w:hAnsi="Times New Roman" w:cs="Times New Roman"/>
          <w:sz w:val="28"/>
          <w:szCs w:val="28"/>
        </w:rPr>
        <w:t xml:space="preserve"> quyết định của cơ quan có thẩm quyền khác</w:t>
      </w:r>
      <w:r w:rsidRPr="004D2F23">
        <w:rPr>
          <w:rFonts w:ascii="Times New Roman" w:hAnsi="Times New Roman" w:cs="Times New Roman"/>
          <w:sz w:val="28"/>
          <w:szCs w:val="28"/>
        </w:rPr>
        <w:t>.</w:t>
      </w:r>
    </w:p>
    <w:p w14:paraId="1E83DB02" w14:textId="77777777" w:rsidR="001943B5" w:rsidRPr="004D2F23" w:rsidRDefault="001943B5" w:rsidP="00A26ADD">
      <w:pPr>
        <w:spacing w:line="276" w:lineRule="auto"/>
        <w:ind w:firstLine="720"/>
        <w:jc w:val="both"/>
        <w:rPr>
          <w:rFonts w:ascii="Times New Roman" w:hAnsi="Times New Roman" w:cs="Times New Roman"/>
          <w:b/>
          <w:sz w:val="28"/>
          <w:szCs w:val="28"/>
        </w:rPr>
      </w:pPr>
      <w:r w:rsidRPr="004D2F23">
        <w:rPr>
          <w:rFonts w:ascii="Times New Roman" w:hAnsi="Times New Roman" w:cs="Times New Roman"/>
          <w:b/>
          <w:sz w:val="28"/>
          <w:szCs w:val="28"/>
        </w:rPr>
        <w:t>- Các nguồn vốn dự phòng</w:t>
      </w:r>
    </w:p>
    <w:p w14:paraId="532FBF88" w14:textId="77777777" w:rsidR="0059424E" w:rsidRPr="004D2F23" w:rsidRDefault="001943B5" w:rsidP="00A26ADD">
      <w:pPr>
        <w:spacing w:line="276" w:lineRule="auto"/>
        <w:ind w:firstLine="720"/>
        <w:jc w:val="both"/>
        <w:rPr>
          <w:rFonts w:ascii="Times New Roman" w:hAnsi="Times New Roman" w:cs="Times New Roman"/>
          <w:sz w:val="28"/>
          <w:szCs w:val="28"/>
        </w:rPr>
      </w:pPr>
      <w:r w:rsidRPr="004D2F23">
        <w:rPr>
          <w:rFonts w:ascii="Times New Roman" w:hAnsi="Times New Roman" w:cs="Times New Roman"/>
          <w:sz w:val="28"/>
          <w:szCs w:val="28"/>
        </w:rPr>
        <w:t xml:space="preserve">Tùy từng quốc gia, BHTG có thể tiếp cận nguồn vốn dự phòng từ cả khu vực công và khu vực </w:t>
      </w:r>
      <w:proofErr w:type="gramStart"/>
      <w:r w:rsidRPr="004D2F23">
        <w:rPr>
          <w:rFonts w:ascii="Times New Roman" w:hAnsi="Times New Roman" w:cs="Times New Roman"/>
          <w:sz w:val="28"/>
          <w:szCs w:val="28"/>
        </w:rPr>
        <w:t>tư</w:t>
      </w:r>
      <w:proofErr w:type="gramEnd"/>
      <w:r w:rsidRPr="004D2F23">
        <w:rPr>
          <w:rFonts w:ascii="Times New Roman" w:hAnsi="Times New Roman" w:cs="Times New Roman"/>
          <w:sz w:val="28"/>
          <w:szCs w:val="28"/>
        </w:rPr>
        <w:t xml:space="preserve">. Nguồn công bao gồm (nguồn tài trợ từ chính phủ, vay từ NHTW) và từ khu vực tư (tham gia vào thị trường tư nhân, bao gồm phát hành trái phiếu; vay từ ngân hàng tư nhân và </w:t>
      </w:r>
      <w:proofErr w:type="gramStart"/>
      <w:r w:rsidRPr="004D2F23">
        <w:rPr>
          <w:rFonts w:ascii="Times New Roman" w:hAnsi="Times New Roman" w:cs="Times New Roman"/>
          <w:sz w:val="28"/>
          <w:szCs w:val="28"/>
        </w:rPr>
        <w:t>thu</w:t>
      </w:r>
      <w:proofErr w:type="gramEnd"/>
      <w:r w:rsidRPr="004D2F23">
        <w:rPr>
          <w:rFonts w:ascii="Times New Roman" w:hAnsi="Times New Roman" w:cs="Times New Roman"/>
          <w:sz w:val="28"/>
          <w:szCs w:val="28"/>
        </w:rPr>
        <w:t xml:space="preserve"> thêm phí).</w:t>
      </w:r>
    </w:p>
    <w:p w14:paraId="437599D8" w14:textId="03198DDC" w:rsidR="0059424E" w:rsidRPr="004D2F23" w:rsidRDefault="0059424E" w:rsidP="00AC396D">
      <w:pPr>
        <w:jc w:val="both"/>
        <w:rPr>
          <w:rFonts w:ascii="Times New Roman" w:hAnsi="Times New Roman" w:cs="Times New Roman"/>
          <w:sz w:val="28"/>
          <w:szCs w:val="28"/>
        </w:rPr>
      </w:pPr>
    </w:p>
    <w:sectPr w:rsidR="0059424E" w:rsidRPr="004D2F23" w:rsidSect="00F20B20">
      <w:headerReference w:type="default" r:id="rId17"/>
      <w:pgSz w:w="11907" w:h="16839" w:code="9"/>
      <w:pgMar w:top="1440" w:right="927"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662A0" w14:textId="77777777" w:rsidR="000A6F91" w:rsidRDefault="000A6F91" w:rsidP="00C8680F">
      <w:pPr>
        <w:spacing w:after="0" w:line="240" w:lineRule="auto"/>
      </w:pPr>
      <w:r>
        <w:separator/>
      </w:r>
    </w:p>
  </w:endnote>
  <w:endnote w:type="continuationSeparator" w:id="0">
    <w:p w14:paraId="629506B7" w14:textId="77777777" w:rsidR="000A6F91" w:rsidRDefault="000A6F91" w:rsidP="00C86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94863" w14:textId="77777777" w:rsidR="000A6F91" w:rsidRDefault="000A6F91" w:rsidP="00C8680F">
      <w:pPr>
        <w:spacing w:after="0" w:line="240" w:lineRule="auto"/>
      </w:pPr>
      <w:r>
        <w:separator/>
      </w:r>
    </w:p>
  </w:footnote>
  <w:footnote w:type="continuationSeparator" w:id="0">
    <w:p w14:paraId="14B5CB83" w14:textId="77777777" w:rsidR="000A6F91" w:rsidRDefault="000A6F91" w:rsidP="00C8680F">
      <w:pPr>
        <w:spacing w:after="0" w:line="240" w:lineRule="auto"/>
      </w:pPr>
      <w:r>
        <w:continuationSeparator/>
      </w:r>
    </w:p>
  </w:footnote>
  <w:footnote w:id="1">
    <w:p w14:paraId="42307C19" w14:textId="77777777" w:rsidR="008B3399" w:rsidRPr="000B70C3" w:rsidRDefault="008B3399" w:rsidP="004F3AA2">
      <w:pPr>
        <w:pStyle w:val="FootnoteText"/>
        <w:rPr>
          <w:rFonts w:ascii="Times New Roman" w:hAnsi="Times New Roman" w:cs="Times New Roman"/>
        </w:rPr>
      </w:pPr>
      <w:r w:rsidRPr="000B70C3">
        <w:rPr>
          <w:rStyle w:val="FootnoteReference"/>
          <w:rFonts w:ascii="Times New Roman" w:hAnsi="Times New Roman" w:cs="Times New Roman"/>
        </w:rPr>
        <w:footnoteRef/>
      </w:r>
      <w:r w:rsidRPr="000B70C3">
        <w:rPr>
          <w:rFonts w:ascii="Times New Roman" w:hAnsi="Times New Roman" w:cs="Times New Roman"/>
        </w:rPr>
        <w:t xml:space="preserve"> </w:t>
      </w:r>
      <w:hyperlink r:id="rId1" w:history="1">
        <w:r w:rsidRPr="004D2F23">
          <w:rPr>
            <w:rStyle w:val="Hyperlink"/>
            <w:rFonts w:ascii="Times New Roman" w:hAnsi="Times New Roman" w:cs="Times New Roman"/>
            <w:color w:val="auto"/>
          </w:rPr>
          <w:t>https://www.iadi.org/uploads/APRC_2011_Funding_paper_final_clean.pdf</w:t>
        </w:r>
      </w:hyperlink>
      <w:r w:rsidRPr="004D2F23">
        <w:rPr>
          <w:rFonts w:ascii="Times New Roman" w:hAnsi="Times New Roman" w:cs="Times New Roman"/>
        </w:rPr>
        <w:t xml:space="preserve"> </w:t>
      </w:r>
    </w:p>
  </w:footnote>
  <w:footnote w:id="2">
    <w:p w14:paraId="79595362" w14:textId="77777777" w:rsidR="008B3399" w:rsidRPr="004D2F23" w:rsidRDefault="008B3399">
      <w:pPr>
        <w:pStyle w:val="FootnoteText"/>
        <w:rPr>
          <w:rFonts w:ascii="Times New Roman" w:hAnsi="Times New Roman" w:cs="Times New Roman"/>
        </w:rPr>
      </w:pPr>
      <w:r w:rsidRPr="000B70C3">
        <w:rPr>
          <w:rStyle w:val="FootnoteReference"/>
          <w:rFonts w:ascii="Times New Roman" w:hAnsi="Times New Roman" w:cs="Times New Roman"/>
        </w:rPr>
        <w:footnoteRef/>
      </w:r>
      <w:r w:rsidRPr="000B70C3">
        <w:rPr>
          <w:rFonts w:ascii="Times New Roman" w:hAnsi="Times New Roman" w:cs="Times New Roman"/>
        </w:rPr>
        <w:t xml:space="preserve"> Qua khảo sát 32 thành viên của Hiệp hội bảo hiểm tiền gửi</w:t>
      </w:r>
      <w:r w:rsidRPr="004D2F23">
        <w:rPr>
          <w:rFonts w:ascii="Times New Roman" w:hAnsi="Times New Roman" w:cs="Times New Roman"/>
        </w:rPr>
        <w:t xml:space="preserve">: </w:t>
      </w:r>
      <w:hyperlink r:id="rId2" w:history="1">
        <w:r w:rsidRPr="004D2F23">
          <w:rPr>
            <w:rStyle w:val="Hyperlink"/>
            <w:rFonts w:ascii="Times New Roman" w:hAnsi="Times New Roman" w:cs="Times New Roman"/>
            <w:color w:val="auto"/>
          </w:rPr>
          <w:t>https://www.bis.org/fsi/publ/insights17.htm</w:t>
        </w:r>
      </w:hyperlink>
      <w:r w:rsidRPr="004D2F23">
        <w:rPr>
          <w:rFonts w:ascii="Times New Roman" w:hAnsi="Times New Roman" w:cs="Times New Roman"/>
        </w:rPr>
        <w:t xml:space="preserve"> </w:t>
      </w:r>
    </w:p>
  </w:footnote>
  <w:footnote w:id="3">
    <w:p w14:paraId="72E0E184" w14:textId="77777777" w:rsidR="008B3399" w:rsidRPr="000B70C3" w:rsidRDefault="008B3399" w:rsidP="00DC0073">
      <w:pPr>
        <w:pStyle w:val="FootnoteText"/>
        <w:rPr>
          <w:rFonts w:ascii="Times New Roman" w:hAnsi="Times New Roman" w:cs="Times New Roman"/>
        </w:rPr>
      </w:pPr>
      <w:r w:rsidRPr="004D2F23">
        <w:rPr>
          <w:rStyle w:val="FootnoteReference"/>
          <w:rFonts w:ascii="Times New Roman" w:hAnsi="Times New Roman" w:cs="Times New Roman"/>
        </w:rPr>
        <w:footnoteRef/>
      </w:r>
      <w:r w:rsidRPr="004D2F23">
        <w:rPr>
          <w:rFonts w:ascii="Times New Roman" w:hAnsi="Times New Roman" w:cs="Times New Roman"/>
        </w:rPr>
        <w:t xml:space="preserve"> </w:t>
      </w:r>
      <w:hyperlink r:id="rId3" w:history="1">
        <w:r w:rsidRPr="004D2F23">
          <w:rPr>
            <w:rStyle w:val="Hyperlink"/>
            <w:rFonts w:ascii="Times New Roman" w:hAnsi="Times New Roman" w:cs="Times New Roman"/>
            <w:color w:val="auto"/>
          </w:rPr>
          <w:t>https://www.iadi.org/uploads/IADI_Annual_Trends_2023.pdf</w:t>
        </w:r>
      </w:hyperlink>
      <w:r w:rsidRPr="004D2F23">
        <w:rPr>
          <w:rFonts w:ascii="Times New Roman" w:hAnsi="Times New Roman" w:cs="Times New Roman"/>
        </w:rPr>
        <w:t xml:space="preserve"> </w:t>
      </w:r>
    </w:p>
  </w:footnote>
  <w:footnote w:id="4">
    <w:p w14:paraId="69FA710E" w14:textId="77777777" w:rsidR="008B3399" w:rsidRPr="000B70C3" w:rsidRDefault="008B3399">
      <w:pPr>
        <w:pStyle w:val="FootnoteText"/>
        <w:rPr>
          <w:rFonts w:ascii="Times New Roman" w:hAnsi="Times New Roman" w:cs="Times New Roman"/>
        </w:rPr>
      </w:pPr>
      <w:r w:rsidRPr="000B70C3">
        <w:rPr>
          <w:rStyle w:val="FootnoteReference"/>
          <w:rFonts w:ascii="Times New Roman" w:hAnsi="Times New Roman" w:cs="Times New Roman"/>
        </w:rPr>
        <w:footnoteRef/>
      </w:r>
      <w:r w:rsidRPr="000B70C3">
        <w:rPr>
          <w:rFonts w:ascii="Times New Roman" w:hAnsi="Times New Roman" w:cs="Times New Roman"/>
        </w:rPr>
        <w:t xml:space="preserve"> Có thể sử dụng P&amp;A chia sẻ tổn thất trong trường hợp khi có ít bên mua sẵn sàng thực hiện việc mua nếu pháp luật về BHTG cho phép, ví dụ, do tài sản khó định giá trong điều kiện thị trường hiện hành. BHTG sẽ đồng ý chia sẻ một phần cụ thể của bất kỳ khoản lỗ nào trong tương lai phát sinh trong một khoảng thời gian cụ thể từ các tài sản được đưa vào P&amp;A. Tùy chọn này, yêu cầu BHTG phải có khả năng thiết lập các khoản nợ phải trả có điều kiện, có thể hạn chế số tiền quỹ BHTG cần được cung cấp trước để hỗ trợ P&amp;A, nhưng cũng có khả năng làm tăng chi phí cuối cùng cho quỹ BHTG trong trường hợp tài sản có chất lượng kém hơn dự kiến. FDIC (Mỹ) đã ký kết các thỏa thuận chia sẻ tổn thất trong Khủng hoảng tài chính </w:t>
      </w:r>
    </w:p>
  </w:footnote>
  <w:footnote w:id="5">
    <w:p w14:paraId="08A8CCB0" w14:textId="77777777" w:rsidR="008B3399" w:rsidRPr="000B70C3" w:rsidRDefault="008B3399" w:rsidP="00FE425C">
      <w:pPr>
        <w:pStyle w:val="FootnoteText"/>
        <w:jc w:val="both"/>
        <w:rPr>
          <w:rFonts w:ascii="Times New Roman" w:hAnsi="Times New Roman" w:cs="Times New Roman"/>
          <w:lang w:val="nl-NL"/>
        </w:rPr>
      </w:pPr>
      <w:r w:rsidRPr="000B70C3">
        <w:rPr>
          <w:rStyle w:val="FootnoteReference"/>
          <w:rFonts w:ascii="Times New Roman" w:hAnsi="Times New Roman" w:cs="Times New Roman"/>
        </w:rPr>
        <w:footnoteRef/>
      </w:r>
      <w:r w:rsidRPr="000B70C3">
        <w:rPr>
          <w:rFonts w:ascii="Times New Roman" w:hAnsi="Times New Roman" w:cs="Times New Roman"/>
          <w:lang w:val="nl-NL"/>
        </w:rPr>
        <w:t xml:space="preserve"> </w:t>
      </w:r>
      <w:r w:rsidRPr="000B70C3">
        <w:rPr>
          <w:rFonts w:ascii="Times New Roman" w:hAnsi="Times New Roman" w:cs="Times New Roman"/>
          <w:lang w:val="nl-NL"/>
        </w:rPr>
        <w:t>FSA, Hướng dẫn toàn diện về giám sát các ngân hàng lớn, tháng 6/2022.</w:t>
      </w:r>
    </w:p>
  </w:footnote>
  <w:footnote w:id="6">
    <w:p w14:paraId="4EC12765" w14:textId="77777777" w:rsidR="008B3399" w:rsidRPr="000B70C3" w:rsidRDefault="008B3399" w:rsidP="00FE425C">
      <w:pPr>
        <w:pStyle w:val="FootnoteText"/>
        <w:jc w:val="both"/>
        <w:rPr>
          <w:rFonts w:ascii="Times New Roman" w:hAnsi="Times New Roman" w:cs="Times New Roman"/>
          <w:lang w:val="nl-NL"/>
        </w:rPr>
      </w:pPr>
      <w:r w:rsidRPr="000B70C3">
        <w:rPr>
          <w:rStyle w:val="FootnoteReference"/>
          <w:rFonts w:ascii="Times New Roman" w:hAnsi="Times New Roman" w:cs="Times New Roman"/>
        </w:rPr>
        <w:footnoteRef/>
      </w:r>
      <w:r w:rsidRPr="000B70C3">
        <w:rPr>
          <w:rFonts w:ascii="Times New Roman" w:hAnsi="Times New Roman" w:cs="Times New Roman"/>
          <w:lang w:val="nl-NL"/>
        </w:rPr>
        <w:t xml:space="preserve"> </w:t>
      </w:r>
      <w:r w:rsidRPr="000B70C3">
        <w:rPr>
          <w:rFonts w:ascii="Times New Roman" w:hAnsi="Times New Roman" w:cs="Times New Roman"/>
          <w:lang w:val="nl-NL"/>
        </w:rPr>
        <w:t>FSA, Hướng dẫn toàn diện về giám sát các ngân hàng lớn, tháng 6/2022.</w:t>
      </w:r>
    </w:p>
  </w:footnote>
  <w:footnote w:id="7">
    <w:p w14:paraId="63113504" w14:textId="77777777" w:rsidR="008B3399" w:rsidRPr="000B70C3" w:rsidRDefault="008B3399" w:rsidP="00FE425C">
      <w:pPr>
        <w:pStyle w:val="FootnoteText"/>
        <w:jc w:val="both"/>
        <w:rPr>
          <w:rFonts w:ascii="Times New Roman" w:hAnsi="Times New Roman" w:cs="Times New Roman"/>
          <w:lang w:val="nl-NL"/>
        </w:rPr>
      </w:pPr>
      <w:r w:rsidRPr="000B70C3">
        <w:rPr>
          <w:rStyle w:val="FootnoteReference"/>
          <w:rFonts w:ascii="Times New Roman" w:hAnsi="Times New Roman" w:cs="Times New Roman"/>
        </w:rPr>
        <w:footnoteRef/>
      </w:r>
      <w:r w:rsidRPr="000B70C3">
        <w:rPr>
          <w:rFonts w:ascii="Times New Roman" w:hAnsi="Times New Roman" w:cs="Times New Roman"/>
          <w:lang w:val="nl-NL"/>
        </w:rPr>
        <w:t xml:space="preserve"> </w:t>
      </w:r>
      <w:r w:rsidRPr="000B70C3">
        <w:rPr>
          <w:rFonts w:ascii="Times New Roman" w:hAnsi="Times New Roman" w:cs="Times New Roman"/>
          <w:lang w:val="nl-NL"/>
        </w:rPr>
        <w:t>Ngân hàng Thanh toán Quốc tế (FSI), Nghiên cứu của FSI về thực thi chính sách số 32, Các cơ chế thể chế xử lý ngân hàng, tháng 5/2021.</w:t>
      </w:r>
    </w:p>
  </w:footnote>
  <w:footnote w:id="8">
    <w:p w14:paraId="262BC6CD" w14:textId="77777777" w:rsidR="008B3399" w:rsidRPr="000B70C3" w:rsidRDefault="008B3399" w:rsidP="00FE425C">
      <w:pPr>
        <w:tabs>
          <w:tab w:val="left" w:pos="360"/>
        </w:tabs>
        <w:spacing w:after="0" w:line="240" w:lineRule="auto"/>
        <w:jc w:val="both"/>
        <w:rPr>
          <w:rFonts w:ascii="Times New Roman" w:hAnsi="Times New Roman" w:cs="Times New Roman"/>
          <w:sz w:val="20"/>
          <w:szCs w:val="20"/>
          <w:lang w:val="nl-NL" w:eastAsia="ja-JP"/>
        </w:rPr>
      </w:pPr>
      <w:r w:rsidRPr="000B70C3">
        <w:rPr>
          <w:rStyle w:val="FootnoteReference"/>
          <w:rFonts w:ascii="Times New Roman" w:hAnsi="Times New Roman" w:cs="Times New Roman"/>
          <w:sz w:val="20"/>
          <w:szCs w:val="20"/>
        </w:rPr>
        <w:footnoteRef/>
      </w:r>
      <w:r w:rsidRPr="000B70C3">
        <w:rPr>
          <w:rFonts w:ascii="Times New Roman" w:hAnsi="Times New Roman" w:cs="Times New Roman"/>
          <w:sz w:val="20"/>
          <w:szCs w:val="20"/>
          <w:lang w:val="nl-NL"/>
        </w:rPr>
        <w:t xml:space="preserve"> </w:t>
      </w:r>
      <w:r w:rsidRPr="000B70C3">
        <w:rPr>
          <w:rFonts w:ascii="Times New Roman" w:hAnsi="Times New Roman" w:cs="Times New Roman"/>
          <w:sz w:val="20"/>
          <w:szCs w:val="20"/>
          <w:lang w:val="nl-NL" w:eastAsia="ja-JP"/>
        </w:rPr>
        <w:t>Thuật ngữ "sáp nhập" nêu tại Khoản trên được hiểu như sau:</w:t>
      </w:r>
    </w:p>
    <w:p w14:paraId="787672F9" w14:textId="77777777" w:rsidR="008B3399" w:rsidRPr="000B70C3" w:rsidRDefault="008B3399" w:rsidP="00FE425C">
      <w:pPr>
        <w:tabs>
          <w:tab w:val="left" w:pos="360"/>
        </w:tabs>
        <w:spacing w:after="0" w:line="240" w:lineRule="auto"/>
        <w:jc w:val="both"/>
        <w:rPr>
          <w:rFonts w:ascii="Times New Roman" w:hAnsi="Times New Roman" w:cs="Times New Roman"/>
          <w:sz w:val="20"/>
          <w:szCs w:val="20"/>
          <w:lang w:val="nl-NL" w:eastAsia="ja-JP"/>
        </w:rPr>
      </w:pPr>
      <w:r w:rsidRPr="000B70C3">
        <w:rPr>
          <w:rFonts w:ascii="Times New Roman" w:hAnsi="Times New Roman" w:cs="Times New Roman"/>
          <w:sz w:val="20"/>
          <w:szCs w:val="20"/>
          <w:lang w:val="nl-NL" w:eastAsia="ja-JP"/>
        </w:rPr>
        <w:t>(i)</w:t>
      </w:r>
      <w:r w:rsidRPr="000B70C3">
        <w:rPr>
          <w:rFonts w:ascii="Times New Roman" w:hAnsi="Times New Roman" w:cs="Times New Roman"/>
          <w:sz w:val="20"/>
          <w:szCs w:val="20"/>
          <w:lang w:val="nl-NL" w:eastAsia="ja-JP"/>
        </w:rPr>
        <w:tab/>
        <w:t>Sáp nhập trong đó TCTC đã hợp nhất với TCTC bị đổ vỡ vẫn tiếp tục hoạt động;</w:t>
      </w:r>
    </w:p>
    <w:p w14:paraId="7325A5C0" w14:textId="77777777" w:rsidR="008B3399" w:rsidRPr="000B70C3" w:rsidRDefault="008B3399" w:rsidP="00FE425C">
      <w:pPr>
        <w:tabs>
          <w:tab w:val="left" w:pos="360"/>
        </w:tabs>
        <w:spacing w:after="0" w:line="240" w:lineRule="auto"/>
        <w:jc w:val="both"/>
        <w:rPr>
          <w:rFonts w:ascii="Times New Roman" w:hAnsi="Times New Roman" w:cs="Times New Roman"/>
          <w:i/>
          <w:iCs/>
          <w:sz w:val="20"/>
          <w:szCs w:val="20"/>
          <w:lang w:val="nl-NL" w:eastAsia="ja-JP"/>
        </w:rPr>
      </w:pPr>
      <w:r w:rsidRPr="000B70C3">
        <w:rPr>
          <w:rFonts w:ascii="Times New Roman" w:hAnsi="Times New Roman" w:cs="Times New Roman"/>
          <w:sz w:val="20"/>
          <w:szCs w:val="20"/>
          <w:lang w:val="nl-NL" w:eastAsia="ja-JP"/>
        </w:rPr>
        <w:t>(ii)</w:t>
      </w:r>
      <w:r w:rsidRPr="000B70C3">
        <w:rPr>
          <w:rFonts w:ascii="Times New Roman" w:hAnsi="Times New Roman" w:cs="Times New Roman"/>
          <w:sz w:val="20"/>
          <w:szCs w:val="20"/>
          <w:lang w:val="nl-NL" w:eastAsia="ja-JP"/>
        </w:rPr>
        <w:tab/>
        <w:t>Sáp nhập trong đó TCTC bị đổ vỡ hợp nhất với TCTC khác để thành lập TCTC mới.</w:t>
      </w:r>
    </w:p>
  </w:footnote>
  <w:footnote w:id="9">
    <w:p w14:paraId="0654BB27" w14:textId="77777777" w:rsidR="008B3399" w:rsidRPr="000B70C3" w:rsidRDefault="008B3399" w:rsidP="00FE425C">
      <w:pPr>
        <w:pStyle w:val="ListParagraph"/>
        <w:tabs>
          <w:tab w:val="left" w:pos="284"/>
        </w:tabs>
        <w:spacing w:after="120" w:line="276" w:lineRule="auto"/>
        <w:ind w:left="0"/>
        <w:contextualSpacing w:val="0"/>
        <w:jc w:val="both"/>
        <w:rPr>
          <w:rFonts w:ascii="Times New Roman" w:hAnsi="Times New Roman" w:cs="Times New Roman"/>
          <w:sz w:val="20"/>
          <w:szCs w:val="20"/>
        </w:rPr>
      </w:pPr>
      <w:r w:rsidRPr="000B70C3">
        <w:rPr>
          <w:rStyle w:val="FootnoteReference"/>
          <w:rFonts w:ascii="Times New Roman" w:hAnsi="Times New Roman" w:cs="Times New Roman"/>
          <w:sz w:val="20"/>
          <w:szCs w:val="20"/>
        </w:rPr>
        <w:footnoteRef/>
      </w:r>
      <w:r w:rsidRPr="000B70C3">
        <w:rPr>
          <w:rFonts w:ascii="Times New Roman" w:hAnsi="Times New Roman" w:cs="Times New Roman"/>
          <w:sz w:val="20"/>
          <w:szCs w:val="20"/>
        </w:rPr>
        <w:t xml:space="preserve"> Áp dụng với tất cả các tổ chức tài chính (ngân hàng, ngân hàng đầu tư, công ty bảo hiểm, v.v)</w:t>
      </w:r>
    </w:p>
  </w:footnote>
  <w:footnote w:id="10">
    <w:p w14:paraId="45D76DF9" w14:textId="77777777" w:rsidR="008B3399" w:rsidRPr="000B70C3" w:rsidRDefault="008B3399" w:rsidP="00AC396D">
      <w:pPr>
        <w:pStyle w:val="FootnoteText"/>
        <w:jc w:val="both"/>
        <w:rPr>
          <w:rFonts w:ascii="Times New Roman" w:hAnsi="Times New Roman" w:cs="Times New Roman"/>
          <w:i/>
          <w:iCs/>
        </w:rPr>
      </w:pPr>
      <w:r w:rsidRPr="000B70C3">
        <w:rPr>
          <w:rStyle w:val="FootnoteReference"/>
          <w:rFonts w:ascii="Times New Roman" w:hAnsi="Times New Roman" w:cs="Times New Roman"/>
          <w:i/>
          <w:iCs/>
        </w:rPr>
        <w:footnoteRef/>
      </w:r>
      <w:r w:rsidRPr="000B70C3">
        <w:rPr>
          <w:rFonts w:ascii="Times New Roman" w:hAnsi="Times New Roman" w:cs="Times New Roman"/>
          <w:i/>
          <w:iCs/>
        </w:rPr>
        <w:t xml:space="preserve"> Martin J. G., FDIC (2019). An Underappreciated Risk: The Resolution of Large Regional Banks in the United States</w:t>
      </w:r>
    </w:p>
  </w:footnote>
  <w:footnote w:id="11">
    <w:p w14:paraId="444656B8" w14:textId="77777777" w:rsidR="008B3399" w:rsidRPr="000B70C3" w:rsidRDefault="008B3399" w:rsidP="000216BB">
      <w:pPr>
        <w:pStyle w:val="FootnoteText"/>
        <w:jc w:val="both"/>
        <w:rPr>
          <w:rFonts w:ascii="Times New Roman" w:hAnsi="Times New Roman" w:cs="Times New Roman"/>
          <w:i/>
          <w:iCs/>
        </w:rPr>
      </w:pPr>
      <w:r w:rsidRPr="000B70C3">
        <w:rPr>
          <w:rStyle w:val="FootnoteReference"/>
          <w:rFonts w:ascii="Times New Roman" w:hAnsi="Times New Roman" w:cs="Times New Roman"/>
          <w:i/>
          <w:iCs/>
        </w:rPr>
        <w:footnoteRef/>
      </w:r>
      <w:r w:rsidRPr="000B70C3">
        <w:rPr>
          <w:rFonts w:ascii="Times New Roman" w:hAnsi="Times New Roman" w:cs="Times New Roman"/>
          <w:i/>
          <w:iCs/>
        </w:rPr>
        <w:t xml:space="preserve"> Khi FDIC nhận thấy việc tự chỉ định là cần thiết để giảm thiểu tổn thất hoặc nguy cơ có tổn thất đối với quỹ BHTG và có bằng chứng rõ ràng để chỉ định. Dù vậy, FDIC vẫn phải tham vấn các cơ quan cấp bang và liên bang khác liên quan. Đồng thời, bản thân tổ chức tín dụng bị tiếp nhận sẽ có 30 ngày để phản đối quyết định này của FDIC tại tòa án.</w:t>
      </w:r>
    </w:p>
  </w:footnote>
  <w:footnote w:id="12">
    <w:p w14:paraId="0D412ADB" w14:textId="1815DB6B" w:rsidR="008B3399" w:rsidRPr="000B70C3" w:rsidRDefault="008B3399" w:rsidP="000216BB">
      <w:pPr>
        <w:tabs>
          <w:tab w:val="left" w:pos="540"/>
        </w:tabs>
        <w:spacing w:after="120" w:line="264" w:lineRule="auto"/>
        <w:rPr>
          <w:rFonts w:ascii="Times New Roman" w:eastAsia="Arial" w:hAnsi="Times New Roman" w:cs="Times New Roman"/>
          <w:i/>
          <w:iCs/>
          <w:sz w:val="20"/>
          <w:szCs w:val="20"/>
        </w:rPr>
      </w:pPr>
      <w:r w:rsidRPr="000B70C3">
        <w:rPr>
          <w:rStyle w:val="FootnoteReference"/>
          <w:rFonts w:ascii="Times New Roman" w:hAnsi="Times New Roman" w:cs="Times New Roman"/>
          <w:sz w:val="20"/>
          <w:szCs w:val="20"/>
        </w:rPr>
        <w:footnoteRef/>
      </w:r>
      <w:r w:rsidRPr="000B70C3">
        <w:rPr>
          <w:rFonts w:ascii="Times New Roman" w:hAnsi="Times New Roman" w:cs="Times New Roman"/>
          <w:sz w:val="20"/>
          <w:szCs w:val="20"/>
        </w:rPr>
        <w:t xml:space="preserve"> </w:t>
      </w:r>
      <w:r w:rsidRPr="000B70C3">
        <w:rPr>
          <w:rFonts w:ascii="Times New Roman" w:eastAsia="Arial" w:hAnsi="Times New Roman" w:cs="Times New Roman"/>
          <w:i/>
          <w:iCs/>
          <w:sz w:val="20"/>
          <w:szCs w:val="20"/>
        </w:rPr>
        <w:t>Tài liệu nghiên cứu P&amp;A năm 2019 của IADI</w:t>
      </w:r>
    </w:p>
    <w:p w14:paraId="6546AD0F" w14:textId="780FB289" w:rsidR="008B3399" w:rsidRPr="000B70C3" w:rsidRDefault="008B3399">
      <w:pPr>
        <w:pStyle w:val="FootnoteText"/>
        <w:rPr>
          <w:rFonts w:ascii="Times New Roman" w:hAnsi="Times New Roman" w:cs="Times New Roman"/>
        </w:rPr>
      </w:pPr>
    </w:p>
  </w:footnote>
  <w:footnote w:id="13">
    <w:p w14:paraId="5979B5EC" w14:textId="77777777" w:rsidR="008B3399" w:rsidRPr="000B70C3" w:rsidRDefault="008B3399" w:rsidP="000216BB">
      <w:pPr>
        <w:pStyle w:val="FootnoteText"/>
        <w:rPr>
          <w:rFonts w:ascii="Times New Roman" w:hAnsi="Times New Roman" w:cs="Times New Roman"/>
        </w:rPr>
      </w:pPr>
      <w:r w:rsidRPr="000B70C3">
        <w:rPr>
          <w:rStyle w:val="FootnoteReference"/>
          <w:rFonts w:ascii="Times New Roman" w:hAnsi="Times New Roman" w:cs="Times New Roman"/>
        </w:rPr>
        <w:footnoteRef/>
      </w:r>
      <w:r w:rsidRPr="000B70C3">
        <w:rPr>
          <w:rFonts w:ascii="Times New Roman" w:hAnsi="Times New Roman" w:cs="Times New Roman"/>
        </w:rPr>
        <w:t xml:space="preserve"> IMF (2018). Resolution Funding: Who pays when Financial Institutions Fail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9525358"/>
      <w:docPartObj>
        <w:docPartGallery w:val="Page Numbers (Top of Page)"/>
        <w:docPartUnique/>
      </w:docPartObj>
    </w:sdtPr>
    <w:sdtEndPr>
      <w:rPr>
        <w:noProof/>
      </w:rPr>
    </w:sdtEndPr>
    <w:sdtContent>
      <w:p w14:paraId="5F5DE91E" w14:textId="1171FFE3" w:rsidR="008B3399" w:rsidRDefault="008B3399">
        <w:pPr>
          <w:pStyle w:val="Header"/>
          <w:jc w:val="center"/>
        </w:pPr>
        <w:r>
          <w:fldChar w:fldCharType="begin"/>
        </w:r>
        <w:r>
          <w:instrText xml:space="preserve"> PAGE   \* MERGEFORMAT </w:instrText>
        </w:r>
        <w:r>
          <w:fldChar w:fldCharType="separate"/>
        </w:r>
        <w:r w:rsidR="004D2F23">
          <w:rPr>
            <w:noProof/>
          </w:rPr>
          <w:t>38</w:t>
        </w:r>
        <w:r>
          <w:rPr>
            <w:noProof/>
          </w:rPr>
          <w:fldChar w:fldCharType="end"/>
        </w:r>
      </w:p>
    </w:sdtContent>
  </w:sdt>
  <w:p w14:paraId="5F6D7C62" w14:textId="77777777" w:rsidR="008B3399" w:rsidRDefault="008B33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481B2C"/>
    <w:multiLevelType w:val="hybridMultilevel"/>
    <w:tmpl w:val="6A4C6E80"/>
    <w:lvl w:ilvl="0" w:tplc="93C6BBD4">
      <w:start w:val="3"/>
      <w:numFmt w:val="bullet"/>
      <w:lvlText w:val="-"/>
      <w:lvlJc w:val="left"/>
      <w:pPr>
        <w:ind w:left="1069" w:hanging="360"/>
      </w:pPr>
      <w:rPr>
        <w:rFonts w:ascii="Times New Roman" w:eastAsia="Arial"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40F83E5E"/>
    <w:multiLevelType w:val="hybridMultilevel"/>
    <w:tmpl w:val="DEE0FB90"/>
    <w:lvl w:ilvl="0" w:tplc="5A3AB69C">
      <w:start w:val="1"/>
      <w:numFmt w:val="bullet"/>
      <w:lvlText w:val="•"/>
      <w:lvlJc w:val="left"/>
      <w:pPr>
        <w:tabs>
          <w:tab w:val="num" w:pos="720"/>
        </w:tabs>
        <w:ind w:left="720" w:hanging="360"/>
      </w:pPr>
      <w:rPr>
        <w:rFonts w:ascii="Arial" w:hAnsi="Arial" w:hint="default"/>
      </w:rPr>
    </w:lvl>
    <w:lvl w:ilvl="1" w:tplc="FB1C08D4" w:tentative="1">
      <w:start w:val="1"/>
      <w:numFmt w:val="bullet"/>
      <w:lvlText w:val="•"/>
      <w:lvlJc w:val="left"/>
      <w:pPr>
        <w:tabs>
          <w:tab w:val="num" w:pos="1440"/>
        </w:tabs>
        <w:ind w:left="1440" w:hanging="360"/>
      </w:pPr>
      <w:rPr>
        <w:rFonts w:ascii="Arial" w:hAnsi="Arial" w:hint="default"/>
      </w:rPr>
    </w:lvl>
    <w:lvl w:ilvl="2" w:tplc="0D20C092">
      <w:start w:val="1"/>
      <w:numFmt w:val="bullet"/>
      <w:lvlText w:val="•"/>
      <w:lvlJc w:val="left"/>
      <w:pPr>
        <w:tabs>
          <w:tab w:val="num" w:pos="2160"/>
        </w:tabs>
        <w:ind w:left="2160" w:hanging="360"/>
      </w:pPr>
      <w:rPr>
        <w:rFonts w:ascii="Arial" w:hAnsi="Arial" w:hint="default"/>
      </w:rPr>
    </w:lvl>
    <w:lvl w:ilvl="3" w:tplc="280A6D90" w:tentative="1">
      <w:start w:val="1"/>
      <w:numFmt w:val="bullet"/>
      <w:lvlText w:val="•"/>
      <w:lvlJc w:val="left"/>
      <w:pPr>
        <w:tabs>
          <w:tab w:val="num" w:pos="2880"/>
        </w:tabs>
        <w:ind w:left="2880" w:hanging="360"/>
      </w:pPr>
      <w:rPr>
        <w:rFonts w:ascii="Arial" w:hAnsi="Arial" w:hint="default"/>
      </w:rPr>
    </w:lvl>
    <w:lvl w:ilvl="4" w:tplc="A508B778" w:tentative="1">
      <w:start w:val="1"/>
      <w:numFmt w:val="bullet"/>
      <w:lvlText w:val="•"/>
      <w:lvlJc w:val="left"/>
      <w:pPr>
        <w:tabs>
          <w:tab w:val="num" w:pos="3600"/>
        </w:tabs>
        <w:ind w:left="3600" w:hanging="360"/>
      </w:pPr>
      <w:rPr>
        <w:rFonts w:ascii="Arial" w:hAnsi="Arial" w:hint="default"/>
      </w:rPr>
    </w:lvl>
    <w:lvl w:ilvl="5" w:tplc="2968054E" w:tentative="1">
      <w:start w:val="1"/>
      <w:numFmt w:val="bullet"/>
      <w:lvlText w:val="•"/>
      <w:lvlJc w:val="left"/>
      <w:pPr>
        <w:tabs>
          <w:tab w:val="num" w:pos="4320"/>
        </w:tabs>
        <w:ind w:left="4320" w:hanging="360"/>
      </w:pPr>
      <w:rPr>
        <w:rFonts w:ascii="Arial" w:hAnsi="Arial" w:hint="default"/>
      </w:rPr>
    </w:lvl>
    <w:lvl w:ilvl="6" w:tplc="C2FA903C" w:tentative="1">
      <w:start w:val="1"/>
      <w:numFmt w:val="bullet"/>
      <w:lvlText w:val="•"/>
      <w:lvlJc w:val="left"/>
      <w:pPr>
        <w:tabs>
          <w:tab w:val="num" w:pos="5040"/>
        </w:tabs>
        <w:ind w:left="5040" w:hanging="360"/>
      </w:pPr>
      <w:rPr>
        <w:rFonts w:ascii="Arial" w:hAnsi="Arial" w:hint="default"/>
      </w:rPr>
    </w:lvl>
    <w:lvl w:ilvl="7" w:tplc="DFDA3818" w:tentative="1">
      <w:start w:val="1"/>
      <w:numFmt w:val="bullet"/>
      <w:lvlText w:val="•"/>
      <w:lvlJc w:val="left"/>
      <w:pPr>
        <w:tabs>
          <w:tab w:val="num" w:pos="5760"/>
        </w:tabs>
        <w:ind w:left="5760" w:hanging="360"/>
      </w:pPr>
      <w:rPr>
        <w:rFonts w:ascii="Arial" w:hAnsi="Arial" w:hint="default"/>
      </w:rPr>
    </w:lvl>
    <w:lvl w:ilvl="8" w:tplc="44944B1C" w:tentative="1">
      <w:start w:val="1"/>
      <w:numFmt w:val="bullet"/>
      <w:lvlText w:val="•"/>
      <w:lvlJc w:val="left"/>
      <w:pPr>
        <w:tabs>
          <w:tab w:val="num" w:pos="6480"/>
        </w:tabs>
        <w:ind w:left="6480" w:hanging="360"/>
      </w:pPr>
      <w:rPr>
        <w:rFonts w:ascii="Arial" w:hAnsi="Arial" w:hint="default"/>
      </w:rPr>
    </w:lvl>
  </w:abstractNum>
  <w:abstractNum w:abstractNumId="2">
    <w:nsid w:val="4FDB3EC6"/>
    <w:multiLevelType w:val="hybridMultilevel"/>
    <w:tmpl w:val="64C8DDA2"/>
    <w:lvl w:ilvl="0" w:tplc="F6B28DCC">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E29"/>
    <w:rsid w:val="000216BB"/>
    <w:rsid w:val="000A6F91"/>
    <w:rsid w:val="000B70C3"/>
    <w:rsid w:val="000D7B2E"/>
    <w:rsid w:val="000F5E8C"/>
    <w:rsid w:val="0016263C"/>
    <w:rsid w:val="001853AA"/>
    <w:rsid w:val="00187D5B"/>
    <w:rsid w:val="00191A4F"/>
    <w:rsid w:val="001943B5"/>
    <w:rsid w:val="002313F8"/>
    <w:rsid w:val="002A4C5F"/>
    <w:rsid w:val="002C27EA"/>
    <w:rsid w:val="002D0BD0"/>
    <w:rsid w:val="002D39C7"/>
    <w:rsid w:val="002D6A4B"/>
    <w:rsid w:val="00351B31"/>
    <w:rsid w:val="00382F31"/>
    <w:rsid w:val="003C1DF2"/>
    <w:rsid w:val="003D6725"/>
    <w:rsid w:val="003E5A33"/>
    <w:rsid w:val="003E6E95"/>
    <w:rsid w:val="00432E90"/>
    <w:rsid w:val="00480874"/>
    <w:rsid w:val="00495505"/>
    <w:rsid w:val="00497B56"/>
    <w:rsid w:val="004A0F4B"/>
    <w:rsid w:val="004B0185"/>
    <w:rsid w:val="004C1AA0"/>
    <w:rsid w:val="004C3BD6"/>
    <w:rsid w:val="004D2F23"/>
    <w:rsid w:val="004F3AA2"/>
    <w:rsid w:val="00563502"/>
    <w:rsid w:val="0059424E"/>
    <w:rsid w:val="005A5F96"/>
    <w:rsid w:val="00621B44"/>
    <w:rsid w:val="00621E83"/>
    <w:rsid w:val="0063440A"/>
    <w:rsid w:val="00670324"/>
    <w:rsid w:val="006A1AF8"/>
    <w:rsid w:val="006E3A63"/>
    <w:rsid w:val="006F0AD7"/>
    <w:rsid w:val="00700EF3"/>
    <w:rsid w:val="007031AC"/>
    <w:rsid w:val="00726F53"/>
    <w:rsid w:val="00762C0D"/>
    <w:rsid w:val="007700C4"/>
    <w:rsid w:val="00781397"/>
    <w:rsid w:val="007B6B32"/>
    <w:rsid w:val="007E57F8"/>
    <w:rsid w:val="007F19B1"/>
    <w:rsid w:val="00806A67"/>
    <w:rsid w:val="008141D2"/>
    <w:rsid w:val="008B3399"/>
    <w:rsid w:val="008D0D42"/>
    <w:rsid w:val="008D5674"/>
    <w:rsid w:val="008E5934"/>
    <w:rsid w:val="008F2F2C"/>
    <w:rsid w:val="00913AC7"/>
    <w:rsid w:val="00950EB9"/>
    <w:rsid w:val="00955678"/>
    <w:rsid w:val="00A137E0"/>
    <w:rsid w:val="00A16FD2"/>
    <w:rsid w:val="00A26ADD"/>
    <w:rsid w:val="00A407EA"/>
    <w:rsid w:val="00A955CF"/>
    <w:rsid w:val="00AC093B"/>
    <w:rsid w:val="00AC396D"/>
    <w:rsid w:val="00AE0216"/>
    <w:rsid w:val="00AE1F58"/>
    <w:rsid w:val="00B33099"/>
    <w:rsid w:val="00B739FF"/>
    <w:rsid w:val="00B94F10"/>
    <w:rsid w:val="00BA0348"/>
    <w:rsid w:val="00BB79B2"/>
    <w:rsid w:val="00C0449E"/>
    <w:rsid w:val="00C10697"/>
    <w:rsid w:val="00C149CC"/>
    <w:rsid w:val="00C23BCD"/>
    <w:rsid w:val="00C34F44"/>
    <w:rsid w:val="00C643BE"/>
    <w:rsid w:val="00C750FC"/>
    <w:rsid w:val="00C8680F"/>
    <w:rsid w:val="00CB42F8"/>
    <w:rsid w:val="00D13339"/>
    <w:rsid w:val="00D149CF"/>
    <w:rsid w:val="00D24FD7"/>
    <w:rsid w:val="00D30287"/>
    <w:rsid w:val="00D53B72"/>
    <w:rsid w:val="00D74644"/>
    <w:rsid w:val="00D76FCD"/>
    <w:rsid w:val="00D979BF"/>
    <w:rsid w:val="00DA22AA"/>
    <w:rsid w:val="00DC0073"/>
    <w:rsid w:val="00DE7E5E"/>
    <w:rsid w:val="00DF63DC"/>
    <w:rsid w:val="00E21B8E"/>
    <w:rsid w:val="00E22EED"/>
    <w:rsid w:val="00E2312F"/>
    <w:rsid w:val="00E414B8"/>
    <w:rsid w:val="00E877F5"/>
    <w:rsid w:val="00E90616"/>
    <w:rsid w:val="00EB278A"/>
    <w:rsid w:val="00EC0D82"/>
    <w:rsid w:val="00ED57FE"/>
    <w:rsid w:val="00F000D7"/>
    <w:rsid w:val="00F0387F"/>
    <w:rsid w:val="00F20B20"/>
    <w:rsid w:val="00F27401"/>
    <w:rsid w:val="00F545BC"/>
    <w:rsid w:val="00F846D9"/>
    <w:rsid w:val="00FB4F12"/>
    <w:rsid w:val="00FB6E29"/>
    <w:rsid w:val="00FE4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6C93A"/>
  <w15:chartTrackingRefBased/>
  <w15:docId w15:val="{092C8E82-E4FD-4082-A628-B62518ED1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FE425C"/>
    <w:pPr>
      <w:spacing w:after="0" w:line="240" w:lineRule="auto"/>
      <w:jc w:val="center"/>
      <w:outlineLvl w:val="1"/>
    </w:pPr>
    <w:rPr>
      <w:rFonts w:ascii="Verdana" w:eastAsia="Verdana" w:hAnsi="Verdana" w:cs="Times New Roman"/>
      <w:i/>
      <w:iCs/>
      <w:color w:val="000000"/>
      <w:sz w:val="26"/>
      <w:szCs w:val="26"/>
      <w:lang w:val="vi-VN" w:eastAsia="vi-VN"/>
    </w:rPr>
  </w:style>
  <w:style w:type="paragraph" w:styleId="Heading3">
    <w:name w:val="heading 3"/>
    <w:basedOn w:val="Normal"/>
    <w:next w:val="Normal"/>
    <w:link w:val="Heading3Char"/>
    <w:uiPriority w:val="9"/>
    <w:semiHidden/>
    <w:unhideWhenUsed/>
    <w:qFormat/>
    <w:rsid w:val="00FE425C"/>
    <w:pPr>
      <w:keepNext/>
      <w:spacing w:before="240" w:after="60" w:line="276"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t"/>
    <w:basedOn w:val="Normal"/>
    <w:link w:val="FootnoteTextChar"/>
    <w:uiPriority w:val="99"/>
    <w:unhideWhenUsed/>
    <w:qFormat/>
    <w:rsid w:val="00C8680F"/>
    <w:pPr>
      <w:spacing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rsid w:val="00C8680F"/>
    <w:rPr>
      <w:sz w:val="20"/>
      <w:szCs w:val="20"/>
    </w:rPr>
  </w:style>
  <w:style w:type="character" w:styleId="FootnoteReference">
    <w:name w:val="footnote reference"/>
    <w:aliases w:val="Footnote text,Footnote,Ref,de nota al pie,Footnote text + 13 pt,ftref,fr,BVI fnr,Footnote Reference-BSA-AML,Ref. de nota al pie,Footnote symbol,Знак сноски-FN,callout,Rimando notaOreste,Rimando notaOreste1,Rimando notaOreste2,o"/>
    <w:basedOn w:val="DefaultParagraphFont"/>
    <w:uiPriority w:val="99"/>
    <w:unhideWhenUsed/>
    <w:qFormat/>
    <w:rsid w:val="00C8680F"/>
    <w:rPr>
      <w:vertAlign w:val="superscript"/>
    </w:rPr>
  </w:style>
  <w:style w:type="paragraph" w:styleId="ListParagraph">
    <w:name w:val="List Paragraph"/>
    <w:basedOn w:val="Normal"/>
    <w:link w:val="ListParagraphChar"/>
    <w:uiPriority w:val="34"/>
    <w:qFormat/>
    <w:rsid w:val="00BA0348"/>
    <w:pPr>
      <w:ind w:left="720"/>
      <w:contextualSpacing/>
    </w:pPr>
  </w:style>
  <w:style w:type="paragraph" w:customStyle="1" w:styleId="Default">
    <w:name w:val="Default"/>
    <w:rsid w:val="002C27EA"/>
    <w:pPr>
      <w:autoSpaceDE w:val="0"/>
      <w:autoSpaceDN w:val="0"/>
      <w:adjustRightInd w:val="0"/>
      <w:spacing w:after="0" w:line="240" w:lineRule="auto"/>
    </w:pPr>
    <w:rPr>
      <w:rFonts w:ascii="Segoe UI" w:hAnsi="Segoe UI" w:cs="Segoe UI"/>
      <w:color w:val="000000"/>
      <w:sz w:val="24"/>
      <w:szCs w:val="24"/>
    </w:rPr>
  </w:style>
  <w:style w:type="character" w:styleId="Hyperlink">
    <w:name w:val="Hyperlink"/>
    <w:basedOn w:val="DefaultParagraphFont"/>
    <w:uiPriority w:val="99"/>
    <w:unhideWhenUsed/>
    <w:rsid w:val="00806A67"/>
    <w:rPr>
      <w:color w:val="0563C1" w:themeColor="hyperlink"/>
      <w:u w:val="single"/>
    </w:rPr>
  </w:style>
  <w:style w:type="paragraph" w:styleId="PlainText">
    <w:name w:val="Plain Text"/>
    <w:basedOn w:val="Default"/>
    <w:next w:val="Default"/>
    <w:link w:val="PlainTextChar"/>
    <w:uiPriority w:val="99"/>
    <w:rsid w:val="000D7B2E"/>
    <w:rPr>
      <w:rFonts w:ascii="Verdana" w:hAnsi="Verdana" w:cstheme="minorBidi"/>
      <w:color w:val="auto"/>
    </w:rPr>
  </w:style>
  <w:style w:type="character" w:customStyle="1" w:styleId="PlainTextChar">
    <w:name w:val="Plain Text Char"/>
    <w:basedOn w:val="DefaultParagraphFont"/>
    <w:link w:val="PlainText"/>
    <w:uiPriority w:val="99"/>
    <w:rsid w:val="000D7B2E"/>
    <w:rPr>
      <w:rFonts w:ascii="Verdana" w:hAnsi="Verdana"/>
      <w:sz w:val="24"/>
      <w:szCs w:val="24"/>
    </w:rPr>
  </w:style>
  <w:style w:type="table" w:styleId="TableGrid">
    <w:name w:val="Table Grid"/>
    <w:basedOn w:val="TableNormal"/>
    <w:uiPriority w:val="39"/>
    <w:rsid w:val="000D7B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76F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6FCD"/>
    <w:rPr>
      <w:rFonts w:ascii="Segoe UI" w:hAnsi="Segoe UI" w:cs="Segoe UI"/>
      <w:sz w:val="18"/>
      <w:szCs w:val="18"/>
    </w:rPr>
  </w:style>
  <w:style w:type="paragraph" w:styleId="Header">
    <w:name w:val="header"/>
    <w:basedOn w:val="Normal"/>
    <w:link w:val="HeaderChar"/>
    <w:uiPriority w:val="99"/>
    <w:unhideWhenUsed/>
    <w:rsid w:val="00187D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7D5B"/>
  </w:style>
  <w:style w:type="paragraph" w:styleId="Footer">
    <w:name w:val="footer"/>
    <w:basedOn w:val="Normal"/>
    <w:link w:val="FooterChar"/>
    <w:uiPriority w:val="99"/>
    <w:unhideWhenUsed/>
    <w:rsid w:val="00187D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7D5B"/>
  </w:style>
  <w:style w:type="character" w:customStyle="1" w:styleId="Heading2Char">
    <w:name w:val="Heading 2 Char"/>
    <w:basedOn w:val="DefaultParagraphFont"/>
    <w:link w:val="Heading2"/>
    <w:rsid w:val="00FE425C"/>
    <w:rPr>
      <w:rFonts w:ascii="Verdana" w:eastAsia="Verdana" w:hAnsi="Verdana" w:cs="Times New Roman"/>
      <w:i/>
      <w:iCs/>
      <w:color w:val="000000"/>
      <w:sz w:val="26"/>
      <w:szCs w:val="26"/>
      <w:lang w:val="vi-VN" w:eastAsia="vi-VN"/>
    </w:rPr>
  </w:style>
  <w:style w:type="character" w:customStyle="1" w:styleId="Heading3Char">
    <w:name w:val="Heading 3 Char"/>
    <w:basedOn w:val="DefaultParagraphFont"/>
    <w:link w:val="Heading3"/>
    <w:uiPriority w:val="9"/>
    <w:semiHidden/>
    <w:rsid w:val="00FE425C"/>
    <w:rPr>
      <w:rFonts w:ascii="Calibri Light" w:eastAsia="Times New Roman" w:hAnsi="Calibri Light" w:cs="Times New Roman"/>
      <w:b/>
      <w:bCs/>
      <w:sz w:val="26"/>
      <w:szCs w:val="26"/>
    </w:rPr>
  </w:style>
  <w:style w:type="character" w:customStyle="1" w:styleId="ListParagraphChar">
    <w:name w:val="List Paragraph Char"/>
    <w:link w:val="ListParagraph"/>
    <w:uiPriority w:val="34"/>
    <w:locked/>
    <w:rsid w:val="00FE425C"/>
  </w:style>
  <w:style w:type="character" w:styleId="Strong">
    <w:name w:val="Strong"/>
    <w:uiPriority w:val="22"/>
    <w:qFormat/>
    <w:rsid w:val="00FE425C"/>
    <w:rPr>
      <w:b/>
      <w:bCs/>
    </w:rPr>
  </w:style>
  <w:style w:type="paragraph" w:customStyle="1" w:styleId="TableParagraph">
    <w:name w:val="Table Paragraph"/>
    <w:basedOn w:val="Normal"/>
    <w:uiPriority w:val="1"/>
    <w:qFormat/>
    <w:rsid w:val="00FE425C"/>
    <w:pPr>
      <w:widowControl w:val="0"/>
      <w:spacing w:after="0" w:line="240" w:lineRule="auto"/>
    </w:pPr>
    <w:rPr>
      <w:rFonts w:ascii="Times New Roman" w:eastAsia="Times New Roman" w:hAnsi="Times New Roman" w:cs="Times New Roman"/>
    </w:rPr>
  </w:style>
  <w:style w:type="paragraph" w:styleId="NormalWeb">
    <w:name w:val="Normal (Web)"/>
    <w:basedOn w:val="Normal"/>
    <w:uiPriority w:val="99"/>
    <w:semiHidden/>
    <w:unhideWhenUsed/>
    <w:rsid w:val="00D53B72"/>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8D567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468816">
      <w:bodyDiv w:val="1"/>
      <w:marLeft w:val="0"/>
      <w:marRight w:val="0"/>
      <w:marTop w:val="0"/>
      <w:marBottom w:val="0"/>
      <w:divBdr>
        <w:top w:val="none" w:sz="0" w:space="0" w:color="auto"/>
        <w:left w:val="none" w:sz="0" w:space="0" w:color="auto"/>
        <w:bottom w:val="none" w:sz="0" w:space="0" w:color="auto"/>
        <w:right w:val="none" w:sz="0" w:space="0" w:color="auto"/>
      </w:divBdr>
    </w:div>
    <w:div w:id="1058476587">
      <w:bodyDiv w:val="1"/>
      <w:marLeft w:val="0"/>
      <w:marRight w:val="0"/>
      <w:marTop w:val="0"/>
      <w:marBottom w:val="0"/>
      <w:divBdr>
        <w:top w:val="none" w:sz="0" w:space="0" w:color="auto"/>
        <w:left w:val="none" w:sz="0" w:space="0" w:color="auto"/>
        <w:bottom w:val="none" w:sz="0" w:space="0" w:color="auto"/>
        <w:right w:val="none" w:sz="0" w:space="0" w:color="auto"/>
      </w:divBdr>
    </w:div>
    <w:div w:id="1599095497">
      <w:bodyDiv w:val="1"/>
      <w:marLeft w:val="0"/>
      <w:marRight w:val="0"/>
      <w:marTop w:val="0"/>
      <w:marBottom w:val="0"/>
      <w:divBdr>
        <w:top w:val="none" w:sz="0" w:space="0" w:color="auto"/>
        <w:left w:val="none" w:sz="0" w:space="0" w:color="auto"/>
        <w:bottom w:val="none" w:sz="0" w:space="0" w:color="auto"/>
        <w:right w:val="none" w:sz="0" w:space="0" w:color="auto"/>
      </w:divBdr>
    </w:div>
    <w:div w:id="1799302639">
      <w:bodyDiv w:val="1"/>
      <w:marLeft w:val="0"/>
      <w:marRight w:val="0"/>
      <w:marTop w:val="0"/>
      <w:marBottom w:val="0"/>
      <w:divBdr>
        <w:top w:val="none" w:sz="0" w:space="0" w:color="auto"/>
        <w:left w:val="none" w:sz="0" w:space="0" w:color="auto"/>
        <w:bottom w:val="none" w:sz="0" w:space="0" w:color="auto"/>
        <w:right w:val="none" w:sz="0" w:space="0" w:color="auto"/>
      </w:divBdr>
      <w:divsChild>
        <w:div w:id="49962544">
          <w:marLeft w:val="0"/>
          <w:marRight w:val="0"/>
          <w:marTop w:val="0"/>
          <w:marBottom w:val="0"/>
          <w:divBdr>
            <w:top w:val="none" w:sz="0" w:space="0" w:color="auto"/>
            <w:left w:val="none" w:sz="0" w:space="0" w:color="auto"/>
            <w:bottom w:val="none" w:sz="0" w:space="0" w:color="auto"/>
            <w:right w:val="none" w:sz="0" w:space="0" w:color="auto"/>
          </w:divBdr>
          <w:divsChild>
            <w:div w:id="1588884968">
              <w:marLeft w:val="0"/>
              <w:marRight w:val="0"/>
              <w:marTop w:val="0"/>
              <w:marBottom w:val="0"/>
              <w:divBdr>
                <w:top w:val="none" w:sz="0" w:space="0" w:color="auto"/>
                <w:left w:val="none" w:sz="0" w:space="0" w:color="auto"/>
                <w:bottom w:val="none" w:sz="0" w:space="0" w:color="auto"/>
                <w:right w:val="none" w:sz="0" w:space="0" w:color="auto"/>
              </w:divBdr>
              <w:divsChild>
                <w:div w:id="133669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09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ustomXml" Target="../customXml/item4.xml"/></Relationships>
</file>

<file path=word/_rels/footnotes.xml.rels><?xml version="1.0" encoding="UTF-8" standalone="yes"?>
<Relationships xmlns="http://schemas.openxmlformats.org/package/2006/relationships"><Relationship Id="rId3" Type="http://schemas.openxmlformats.org/officeDocument/2006/relationships/hyperlink" Target="https://www.iadi.org/uploads/IADI_Annual_Trends_2023.pdf" TargetMode="External"/><Relationship Id="rId2" Type="http://schemas.openxmlformats.org/officeDocument/2006/relationships/hyperlink" Target="https://www.bis.org/fsi/publ/insights17.htm" TargetMode="External"/><Relationship Id="rId1" Type="http://schemas.openxmlformats.org/officeDocument/2006/relationships/hyperlink" Target="https://www.iadi.org/uploads/APRC_2011_Funding_paper_final_clea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2194CF-11AA-4B98-81DB-E2D518E53778}">
  <ds:schemaRefs>
    <ds:schemaRef ds:uri="http://schemas.openxmlformats.org/officeDocument/2006/bibliography"/>
  </ds:schemaRefs>
</ds:datastoreItem>
</file>

<file path=customXml/itemProps2.xml><?xml version="1.0" encoding="utf-8"?>
<ds:datastoreItem xmlns:ds="http://schemas.openxmlformats.org/officeDocument/2006/customXml" ds:itemID="{04089668-E1AA-4F23-A849-C4811796B610}"/>
</file>

<file path=customXml/itemProps3.xml><?xml version="1.0" encoding="utf-8"?>
<ds:datastoreItem xmlns:ds="http://schemas.openxmlformats.org/officeDocument/2006/customXml" ds:itemID="{FE21E718-A595-4906-86E4-E8E93533592B}"/>
</file>

<file path=customXml/itemProps4.xml><?xml version="1.0" encoding="utf-8"?>
<ds:datastoreItem xmlns:ds="http://schemas.openxmlformats.org/officeDocument/2006/customXml" ds:itemID="{62A512CD-8627-45C9-8301-10F71E627A5D}"/>
</file>

<file path=docProps/app.xml><?xml version="1.0" encoding="utf-8"?>
<Properties xmlns="http://schemas.openxmlformats.org/officeDocument/2006/extended-properties" xmlns:vt="http://schemas.openxmlformats.org/officeDocument/2006/docPropsVTypes">
  <Template>Normal</Template>
  <TotalTime>1</TotalTime>
  <Pages>40</Pages>
  <Words>10351</Words>
  <Characters>59006</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Tran Thuy An (PC)</dc:creator>
  <cp:keywords/>
  <dc:description/>
  <cp:lastModifiedBy>Pham Thi Thao Linh (PC)</cp:lastModifiedBy>
  <cp:revision>3</cp:revision>
  <cp:lastPrinted>2025-05-28T10:31:00Z</cp:lastPrinted>
  <dcterms:created xsi:type="dcterms:W3CDTF">2025-05-29T07:45:00Z</dcterms:created>
  <dcterms:modified xsi:type="dcterms:W3CDTF">2025-05-30T07:33:00Z</dcterms:modified>
</cp:coreProperties>
</file>